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6381" w14:textId="5FEFBA16" w:rsidR="008C3797" w:rsidRPr="00E46D6F" w:rsidRDefault="000E5177" w:rsidP="00D0432B">
      <w:pPr>
        <w:spacing w:line="276" w:lineRule="auto"/>
        <w:contextualSpacing/>
        <w:rPr>
          <w:rFonts w:ascii="Arial" w:hAnsi="Arial" w:cs="Arial"/>
          <w:b/>
          <w:bCs/>
          <w:sz w:val="28"/>
          <w:szCs w:val="28"/>
        </w:rPr>
      </w:pPr>
      <w:r w:rsidRPr="00E46D6F">
        <w:rPr>
          <w:rFonts w:ascii="Arial" w:hAnsi="Arial" w:cs="Arial"/>
          <w:b/>
          <w:bCs/>
          <w:sz w:val="28"/>
          <w:szCs w:val="28"/>
        </w:rPr>
        <w:t xml:space="preserve">Výsledky laboratorního testování přípravků </w:t>
      </w:r>
      <w:r w:rsidR="00E46D6F" w:rsidRPr="00E46D6F">
        <w:rPr>
          <w:rFonts w:ascii="Arial" w:hAnsi="Arial" w:cs="Arial"/>
          <w:b/>
          <w:bCs/>
          <w:sz w:val="28"/>
          <w:szCs w:val="28"/>
        </w:rPr>
        <w:t xml:space="preserve">s protipseudomonádovým účinkem </w:t>
      </w:r>
      <w:r w:rsidRPr="00E46D6F">
        <w:rPr>
          <w:rFonts w:ascii="Arial" w:hAnsi="Arial" w:cs="Arial"/>
          <w:b/>
          <w:bCs/>
          <w:sz w:val="28"/>
          <w:szCs w:val="28"/>
        </w:rPr>
        <w:t xml:space="preserve">u klinických izolátů </w:t>
      </w:r>
      <w:r w:rsidRPr="00E46D6F">
        <w:rPr>
          <w:rFonts w:ascii="Arial" w:hAnsi="Arial" w:cs="Arial"/>
          <w:b/>
          <w:bCs/>
          <w:i/>
          <w:iCs/>
          <w:sz w:val="28"/>
          <w:szCs w:val="28"/>
        </w:rPr>
        <w:t>Pseudomonas aeruginosa</w:t>
      </w:r>
      <w:r w:rsidRPr="00E46D6F">
        <w:rPr>
          <w:rFonts w:ascii="Arial" w:hAnsi="Arial" w:cs="Arial"/>
          <w:b/>
          <w:bCs/>
          <w:sz w:val="28"/>
          <w:szCs w:val="28"/>
        </w:rPr>
        <w:t xml:space="preserve"> ve Všeobecné fakultní nemocnici v Praze.</w:t>
      </w:r>
    </w:p>
    <w:p w14:paraId="4561C6E0" w14:textId="77777777" w:rsidR="00D0432B" w:rsidRPr="00AF0330" w:rsidRDefault="00D0432B" w:rsidP="00D0432B">
      <w:pPr>
        <w:spacing w:line="276" w:lineRule="auto"/>
        <w:contextualSpacing/>
        <w:rPr>
          <w:rFonts w:ascii="Arial" w:hAnsi="Arial" w:cs="Arial"/>
          <w:sz w:val="24"/>
          <w:szCs w:val="24"/>
        </w:rPr>
      </w:pPr>
    </w:p>
    <w:p w14:paraId="3A0E0A67" w14:textId="39E17339" w:rsidR="000E5177" w:rsidRDefault="000E5177" w:rsidP="00D0432B">
      <w:pPr>
        <w:spacing w:line="276" w:lineRule="auto"/>
        <w:contextualSpacing/>
        <w:rPr>
          <w:rFonts w:ascii="Arial" w:hAnsi="Arial" w:cs="Arial"/>
          <w:sz w:val="24"/>
          <w:szCs w:val="24"/>
        </w:rPr>
      </w:pPr>
      <w:r w:rsidRPr="00AF0330">
        <w:rPr>
          <w:rFonts w:ascii="Arial" w:hAnsi="Arial" w:cs="Arial"/>
          <w:sz w:val="24"/>
          <w:szCs w:val="24"/>
        </w:rPr>
        <w:t>Adámková V.</w:t>
      </w:r>
    </w:p>
    <w:p w14:paraId="190E1AEA" w14:textId="77777777" w:rsidR="006E197E" w:rsidRPr="00AF0330" w:rsidRDefault="006E197E" w:rsidP="00D0432B">
      <w:pPr>
        <w:spacing w:line="276" w:lineRule="auto"/>
        <w:contextualSpacing/>
        <w:rPr>
          <w:rFonts w:ascii="Arial" w:hAnsi="Arial" w:cs="Arial"/>
          <w:sz w:val="24"/>
          <w:szCs w:val="24"/>
        </w:rPr>
      </w:pPr>
    </w:p>
    <w:p w14:paraId="4967C601" w14:textId="3BA9098D" w:rsidR="00DD368B" w:rsidRDefault="00D1544C" w:rsidP="00D0432B">
      <w:pPr>
        <w:spacing w:line="276" w:lineRule="auto"/>
        <w:contextualSpacing/>
        <w:rPr>
          <w:rFonts w:ascii="Arial" w:hAnsi="Arial" w:cs="Arial"/>
          <w:sz w:val="24"/>
          <w:szCs w:val="24"/>
        </w:rPr>
      </w:pPr>
      <w:r w:rsidRPr="00AF0330">
        <w:rPr>
          <w:rFonts w:ascii="Arial" w:hAnsi="Arial" w:cs="Arial"/>
          <w:sz w:val="24"/>
          <w:szCs w:val="24"/>
        </w:rPr>
        <w:t xml:space="preserve">Laboratoře Klinické mikrobiologie a ATB centra Všeobecné fakultní nemocnice (VFN) vyšetřují biologický materiál od pacientů z VFN a </w:t>
      </w:r>
      <w:r w:rsidR="006B63A1" w:rsidRPr="00AF0330">
        <w:rPr>
          <w:rFonts w:ascii="Arial" w:hAnsi="Arial" w:cs="Arial"/>
          <w:sz w:val="24"/>
          <w:szCs w:val="24"/>
        </w:rPr>
        <w:t>z</w:t>
      </w:r>
      <w:r w:rsidRPr="00AF0330">
        <w:rPr>
          <w:rFonts w:ascii="Arial" w:hAnsi="Arial" w:cs="Arial"/>
          <w:sz w:val="24"/>
          <w:szCs w:val="24"/>
        </w:rPr>
        <w:t xml:space="preserve"> Ústavu </w:t>
      </w:r>
      <w:r w:rsidR="00EB4AFC" w:rsidRPr="00AF0330">
        <w:rPr>
          <w:rFonts w:ascii="Arial" w:hAnsi="Arial" w:cs="Arial"/>
          <w:sz w:val="24"/>
          <w:szCs w:val="24"/>
        </w:rPr>
        <w:t>hematologie</w:t>
      </w:r>
      <w:r w:rsidRPr="00AF0330">
        <w:rPr>
          <w:rFonts w:ascii="Arial" w:hAnsi="Arial" w:cs="Arial"/>
          <w:sz w:val="24"/>
          <w:szCs w:val="24"/>
        </w:rPr>
        <w:t xml:space="preserve"> a krevní </w:t>
      </w:r>
      <w:r w:rsidR="00EB4AFC" w:rsidRPr="00AF0330">
        <w:rPr>
          <w:rFonts w:ascii="Arial" w:hAnsi="Arial" w:cs="Arial"/>
          <w:sz w:val="24"/>
          <w:szCs w:val="24"/>
        </w:rPr>
        <w:t>transfuze v</w:t>
      </w:r>
      <w:r w:rsidRPr="00AF0330">
        <w:rPr>
          <w:rFonts w:ascii="Arial" w:hAnsi="Arial" w:cs="Arial"/>
          <w:sz w:val="24"/>
          <w:szCs w:val="24"/>
        </w:rPr>
        <w:t xml:space="preserve"> Praze.</w:t>
      </w:r>
      <w:r w:rsidR="006B63A1" w:rsidRPr="00AF0330">
        <w:rPr>
          <w:rFonts w:ascii="Arial" w:hAnsi="Arial" w:cs="Arial"/>
          <w:sz w:val="24"/>
          <w:szCs w:val="24"/>
        </w:rPr>
        <w:t xml:space="preserve"> Testování citlivosti na antibiotika se provádí jak u izolátů z klinicky validních materiálů, tak ze skríningových vzorků, aby bylo </w:t>
      </w:r>
      <w:r w:rsidR="00EB4AFC" w:rsidRPr="00AF0330">
        <w:rPr>
          <w:rFonts w:ascii="Arial" w:hAnsi="Arial" w:cs="Arial"/>
          <w:sz w:val="24"/>
          <w:szCs w:val="24"/>
        </w:rPr>
        <w:t>možné</w:t>
      </w:r>
      <w:r w:rsidR="006B63A1" w:rsidRPr="00AF0330">
        <w:rPr>
          <w:rFonts w:ascii="Arial" w:hAnsi="Arial" w:cs="Arial"/>
          <w:sz w:val="24"/>
          <w:szCs w:val="24"/>
        </w:rPr>
        <w:t xml:space="preserve"> včas reagovat na případné </w:t>
      </w:r>
      <w:r w:rsidR="00EB4AFC" w:rsidRPr="00AF0330">
        <w:rPr>
          <w:rFonts w:ascii="Arial" w:hAnsi="Arial" w:cs="Arial"/>
          <w:sz w:val="24"/>
          <w:szCs w:val="24"/>
        </w:rPr>
        <w:t>zvýšené výskyty</w:t>
      </w:r>
      <w:r w:rsidR="006B63A1" w:rsidRPr="00AF0330">
        <w:rPr>
          <w:rFonts w:ascii="Arial" w:hAnsi="Arial" w:cs="Arial"/>
          <w:sz w:val="24"/>
          <w:szCs w:val="24"/>
        </w:rPr>
        <w:t xml:space="preserve"> multirezistentních bakterií, včetně kmenů </w:t>
      </w:r>
      <w:r w:rsidR="00EB4AFC" w:rsidRPr="00AF0330">
        <w:rPr>
          <w:rFonts w:ascii="Arial" w:hAnsi="Arial" w:cs="Arial"/>
          <w:sz w:val="24"/>
          <w:szCs w:val="24"/>
        </w:rPr>
        <w:t>splňujících</w:t>
      </w:r>
      <w:r w:rsidR="006B63A1" w:rsidRPr="00AF0330">
        <w:rPr>
          <w:rFonts w:ascii="Arial" w:hAnsi="Arial" w:cs="Arial"/>
          <w:sz w:val="24"/>
          <w:szCs w:val="24"/>
        </w:rPr>
        <w:t xml:space="preserve"> kritéria </w:t>
      </w:r>
      <w:r w:rsidR="00EB4AFC" w:rsidRPr="00AF0330">
        <w:rPr>
          <w:rFonts w:ascii="Arial" w:hAnsi="Arial" w:cs="Arial"/>
          <w:sz w:val="24"/>
          <w:szCs w:val="24"/>
        </w:rPr>
        <w:t xml:space="preserve">tzv. </w:t>
      </w:r>
      <w:r w:rsidR="006B63A1" w:rsidRPr="00AF0330">
        <w:rPr>
          <w:rFonts w:ascii="Arial" w:hAnsi="Arial" w:cs="Arial"/>
          <w:sz w:val="24"/>
          <w:szCs w:val="24"/>
        </w:rPr>
        <w:t>Difficult-to-Treat Resistance (DTR)</w:t>
      </w:r>
      <w:r w:rsidR="00EB4AFC" w:rsidRPr="00AF0330">
        <w:rPr>
          <w:rFonts w:ascii="Arial" w:hAnsi="Arial" w:cs="Arial"/>
          <w:sz w:val="24"/>
          <w:szCs w:val="24"/>
        </w:rPr>
        <w:t>. DTR kmeny jsou definovány jako kmeny gramnegativních bakterií rezistentních ke všem betalaktamům (včetně cefalosporinů</w:t>
      </w:r>
      <w:r w:rsidR="0030641B" w:rsidRPr="00AF0330">
        <w:rPr>
          <w:rFonts w:ascii="Arial" w:hAnsi="Arial" w:cs="Arial"/>
          <w:sz w:val="24"/>
          <w:szCs w:val="24"/>
        </w:rPr>
        <w:t>), karbapenemům a fluorovaným chinolonům</w:t>
      </w:r>
      <w:r w:rsidR="007A789D" w:rsidRPr="00AF0330">
        <w:rPr>
          <w:rFonts w:ascii="Arial" w:hAnsi="Arial" w:cs="Arial"/>
          <w:sz w:val="24"/>
          <w:szCs w:val="24"/>
        </w:rPr>
        <w:t>.</w:t>
      </w:r>
      <w:r w:rsidR="007A6746" w:rsidRPr="00E3541E">
        <w:rPr>
          <w:rFonts w:ascii="Arial" w:hAnsi="Arial" w:cs="Arial"/>
          <w:sz w:val="24"/>
          <w:szCs w:val="24"/>
          <w:vertAlign w:val="superscript"/>
        </w:rPr>
        <w:t xml:space="preserve"> (1)</w:t>
      </w:r>
      <w:r w:rsidR="0030641B" w:rsidRPr="00AF0330">
        <w:rPr>
          <w:rFonts w:ascii="Arial" w:hAnsi="Arial" w:cs="Arial"/>
          <w:sz w:val="24"/>
          <w:szCs w:val="24"/>
        </w:rPr>
        <w:t xml:space="preserve"> </w:t>
      </w:r>
      <w:r w:rsidR="00CB40BD" w:rsidRPr="00AF0330">
        <w:rPr>
          <w:rFonts w:ascii="Arial" w:hAnsi="Arial" w:cs="Arial"/>
          <w:sz w:val="24"/>
          <w:szCs w:val="24"/>
        </w:rPr>
        <w:t>V praxi to znamená, že DTR kmeny jsou rezistentní vůči antibiotikům první volby, účinným a bezpečným.</w:t>
      </w:r>
    </w:p>
    <w:p w14:paraId="56989102" w14:textId="17CC72A6" w:rsidR="00DD368B" w:rsidRDefault="00DD368B" w:rsidP="00D0432B">
      <w:pPr>
        <w:spacing w:line="276" w:lineRule="auto"/>
        <w:contextualSpacing/>
        <w:rPr>
          <w:rFonts w:ascii="Arial" w:hAnsi="Arial" w:cs="Arial"/>
          <w:sz w:val="24"/>
          <w:szCs w:val="24"/>
        </w:rPr>
      </w:pPr>
      <w:r>
        <w:rPr>
          <w:rFonts w:ascii="Arial" w:hAnsi="Arial" w:cs="Arial"/>
          <w:sz w:val="24"/>
          <w:szCs w:val="24"/>
        </w:rPr>
        <w:t xml:space="preserve">Standardní </w:t>
      </w:r>
      <w:r w:rsidR="00CB40BD">
        <w:rPr>
          <w:rFonts w:ascii="Arial" w:hAnsi="Arial" w:cs="Arial"/>
          <w:sz w:val="24"/>
          <w:szCs w:val="24"/>
        </w:rPr>
        <w:t>sad</w:t>
      </w:r>
      <w:r>
        <w:rPr>
          <w:rFonts w:ascii="Arial" w:hAnsi="Arial" w:cs="Arial"/>
          <w:sz w:val="24"/>
          <w:szCs w:val="24"/>
        </w:rPr>
        <w:t xml:space="preserve">a antibiotik pro testování citlivosti </w:t>
      </w:r>
      <w:r w:rsidR="00CB40BD" w:rsidRPr="00CB40BD">
        <w:rPr>
          <w:rFonts w:ascii="Arial" w:hAnsi="Arial" w:cs="Arial"/>
          <w:i/>
          <w:iCs/>
          <w:sz w:val="24"/>
          <w:szCs w:val="24"/>
        </w:rPr>
        <w:t>P.</w:t>
      </w:r>
      <w:r w:rsidR="00E3541E">
        <w:rPr>
          <w:rFonts w:ascii="Arial" w:hAnsi="Arial" w:cs="Arial"/>
          <w:i/>
          <w:iCs/>
          <w:sz w:val="24"/>
          <w:szCs w:val="24"/>
        </w:rPr>
        <w:t xml:space="preserve"> </w:t>
      </w:r>
      <w:r w:rsidR="00CB40BD" w:rsidRPr="00CB40BD">
        <w:rPr>
          <w:rFonts w:ascii="Arial" w:hAnsi="Arial" w:cs="Arial"/>
          <w:i/>
          <w:iCs/>
          <w:sz w:val="24"/>
          <w:szCs w:val="24"/>
        </w:rPr>
        <w:t>aeruginosa</w:t>
      </w:r>
      <w:r>
        <w:rPr>
          <w:rFonts w:ascii="Arial" w:hAnsi="Arial" w:cs="Arial"/>
          <w:sz w:val="24"/>
          <w:szCs w:val="24"/>
        </w:rPr>
        <w:t xml:space="preserve"> </w:t>
      </w:r>
      <w:r w:rsidR="005265B6">
        <w:rPr>
          <w:rFonts w:ascii="Arial" w:hAnsi="Arial" w:cs="Arial"/>
          <w:sz w:val="24"/>
          <w:szCs w:val="24"/>
        </w:rPr>
        <w:t xml:space="preserve">diskovou difuzní metodou </w:t>
      </w:r>
      <w:r>
        <w:rPr>
          <w:rFonts w:ascii="Arial" w:hAnsi="Arial" w:cs="Arial"/>
          <w:sz w:val="24"/>
          <w:szCs w:val="24"/>
        </w:rPr>
        <w:t>se sestává z</w:t>
      </w:r>
      <w:r w:rsidR="00CB40BD">
        <w:rPr>
          <w:rFonts w:ascii="Arial" w:hAnsi="Arial" w:cs="Arial"/>
          <w:sz w:val="24"/>
          <w:szCs w:val="24"/>
        </w:rPr>
        <w:t xml:space="preserve"> disků: </w:t>
      </w:r>
      <w:r>
        <w:rPr>
          <w:rFonts w:ascii="Arial" w:hAnsi="Arial" w:cs="Arial"/>
          <w:sz w:val="24"/>
          <w:szCs w:val="24"/>
        </w:rPr>
        <w:t>amikacin, meropenem</w:t>
      </w:r>
      <w:r w:rsidR="00CB40BD">
        <w:rPr>
          <w:rFonts w:ascii="Arial" w:hAnsi="Arial" w:cs="Arial"/>
          <w:sz w:val="24"/>
          <w:szCs w:val="24"/>
        </w:rPr>
        <w:t>, imipenem, ceftazidim, ciprofloxacin, piperacilin/tazobaktam a ceftolozan/tazobaktam. V posledním roce byl do sady přidán i ceftazidim</w:t>
      </w:r>
      <w:r w:rsidR="00DE6CE6">
        <w:rPr>
          <w:rFonts w:ascii="Arial" w:hAnsi="Arial" w:cs="Arial"/>
          <w:sz w:val="24"/>
          <w:szCs w:val="24"/>
        </w:rPr>
        <w:t>/</w:t>
      </w:r>
      <w:r w:rsidR="00CB40BD">
        <w:rPr>
          <w:rFonts w:ascii="Arial" w:hAnsi="Arial" w:cs="Arial"/>
          <w:sz w:val="24"/>
          <w:szCs w:val="24"/>
        </w:rPr>
        <w:t>avibaktam.</w:t>
      </w:r>
    </w:p>
    <w:p w14:paraId="7750D102" w14:textId="2C7340B5" w:rsidR="00CB40BD" w:rsidRPr="00A006CE" w:rsidRDefault="00CB40BD" w:rsidP="00D0432B">
      <w:pPr>
        <w:spacing w:line="276" w:lineRule="auto"/>
        <w:contextualSpacing/>
        <w:jc w:val="both"/>
        <w:rPr>
          <w:rFonts w:ascii="Arial" w:hAnsi="Arial" w:cs="Arial"/>
          <w:sz w:val="24"/>
          <w:szCs w:val="24"/>
        </w:rPr>
      </w:pPr>
      <w:r>
        <w:rPr>
          <w:rFonts w:ascii="Arial" w:hAnsi="Arial" w:cs="Arial"/>
          <w:sz w:val="24"/>
          <w:szCs w:val="24"/>
        </w:rPr>
        <w:t>Ceftolozan/tazobaktam</w:t>
      </w:r>
      <w:r w:rsidRPr="00A006CE">
        <w:rPr>
          <w:rFonts w:ascii="Arial" w:hAnsi="Arial" w:cs="Arial"/>
          <w:sz w:val="24"/>
          <w:szCs w:val="24"/>
        </w:rPr>
        <w:t xml:space="preserve"> je </w:t>
      </w:r>
      <w:r w:rsidR="00E3541E" w:rsidRPr="00A006CE">
        <w:rPr>
          <w:rFonts w:ascii="Arial" w:hAnsi="Arial" w:cs="Arial"/>
          <w:sz w:val="24"/>
          <w:szCs w:val="24"/>
        </w:rPr>
        <w:t>cefalosporin</w:t>
      </w:r>
      <w:r w:rsidRPr="00A006CE">
        <w:rPr>
          <w:rFonts w:ascii="Arial" w:hAnsi="Arial" w:cs="Arial"/>
          <w:sz w:val="24"/>
          <w:szCs w:val="24"/>
        </w:rPr>
        <w:t xml:space="preserve"> s protipseudomonádovým účinkem v kombinaci s inhibitorem betalaktamáz, který je schválen pro terapii komplikovaných nitrobřišních infekc</w:t>
      </w:r>
      <w:r>
        <w:rPr>
          <w:rFonts w:ascii="Arial" w:hAnsi="Arial" w:cs="Arial"/>
          <w:sz w:val="24"/>
          <w:szCs w:val="24"/>
        </w:rPr>
        <w:t>í</w:t>
      </w:r>
      <w:r w:rsidRPr="00A006CE">
        <w:rPr>
          <w:rFonts w:ascii="Arial" w:hAnsi="Arial" w:cs="Arial"/>
          <w:sz w:val="24"/>
          <w:szCs w:val="24"/>
        </w:rPr>
        <w:t xml:space="preserve"> (CIA) a komplikovaných infekcí močového traktu (cUTI). Ceftolozan vykazuje baktericidní účinek díky inhibici syntézy buněčné stěny vazbou na penicillin-binding proteiny (PBP). Je silným inhibitorem PBP3 a má vyšší afinitu k PBP1b v porovnání s ostatními betalaktamovými antibiotiky.</w:t>
      </w:r>
      <w:r w:rsidR="00D0432B" w:rsidRPr="00180052">
        <w:rPr>
          <w:rFonts w:ascii="Arial" w:hAnsi="Arial" w:cs="Arial"/>
          <w:sz w:val="24"/>
          <w:szCs w:val="24"/>
          <w:vertAlign w:val="superscript"/>
        </w:rPr>
        <w:t xml:space="preserve"> </w:t>
      </w:r>
      <w:r w:rsidRPr="00180052">
        <w:rPr>
          <w:rFonts w:ascii="Arial" w:hAnsi="Arial" w:cs="Arial"/>
          <w:sz w:val="24"/>
          <w:szCs w:val="24"/>
          <w:vertAlign w:val="superscript"/>
        </w:rPr>
        <w:t>(2)</w:t>
      </w:r>
    </w:p>
    <w:p w14:paraId="726F2971" w14:textId="212912C0" w:rsidR="00CB40BD" w:rsidRPr="00A006CE" w:rsidRDefault="00CB40BD" w:rsidP="00D0432B">
      <w:pPr>
        <w:spacing w:line="276" w:lineRule="auto"/>
        <w:contextualSpacing/>
        <w:jc w:val="both"/>
        <w:rPr>
          <w:rFonts w:ascii="Arial" w:hAnsi="Arial" w:cs="Arial"/>
          <w:sz w:val="24"/>
          <w:szCs w:val="24"/>
        </w:rPr>
      </w:pPr>
      <w:r>
        <w:rPr>
          <w:rFonts w:ascii="Arial" w:hAnsi="Arial" w:cs="Arial"/>
          <w:sz w:val="24"/>
          <w:szCs w:val="24"/>
        </w:rPr>
        <w:t>Ceftolozan/tazobaktam</w:t>
      </w:r>
      <w:r w:rsidRPr="00A006CE">
        <w:rPr>
          <w:rFonts w:ascii="Arial" w:hAnsi="Arial" w:cs="Arial"/>
          <w:sz w:val="24"/>
          <w:szCs w:val="24"/>
        </w:rPr>
        <w:t xml:space="preserve"> se liší od ostatních cefalosporinů vyšší účinností proti </w:t>
      </w:r>
      <w:r w:rsidRPr="00A006CE">
        <w:rPr>
          <w:rFonts w:ascii="Arial" w:hAnsi="Arial" w:cs="Arial"/>
          <w:i/>
          <w:sz w:val="24"/>
          <w:szCs w:val="24"/>
        </w:rPr>
        <w:t>Pseudomonas aeruginosa</w:t>
      </w:r>
      <w:r w:rsidRPr="00A006CE">
        <w:rPr>
          <w:rFonts w:ascii="Arial" w:hAnsi="Arial" w:cs="Arial"/>
          <w:sz w:val="24"/>
          <w:szCs w:val="24"/>
        </w:rPr>
        <w:t xml:space="preserve"> a některým AmpC betalaktamázám. Přidaný tazobaktam zvyšuje aktivitu proti enterobakteriím produkujícím betalaktamáz širokého spektra (ESBL) a anaerobním mikroorganismům.</w:t>
      </w:r>
    </w:p>
    <w:p w14:paraId="2D95CDA9" w14:textId="499DFBCF" w:rsidR="00CB40BD" w:rsidRPr="00A006CE" w:rsidRDefault="00CB40BD" w:rsidP="00D0432B">
      <w:pPr>
        <w:spacing w:line="276" w:lineRule="auto"/>
        <w:contextualSpacing/>
        <w:jc w:val="both"/>
        <w:rPr>
          <w:rFonts w:ascii="Arial" w:hAnsi="Arial" w:cs="Arial"/>
          <w:sz w:val="24"/>
          <w:szCs w:val="24"/>
        </w:rPr>
      </w:pPr>
      <w:r w:rsidRPr="00A006CE">
        <w:rPr>
          <w:rFonts w:ascii="Arial" w:hAnsi="Arial" w:cs="Arial"/>
          <w:sz w:val="24"/>
          <w:szCs w:val="24"/>
        </w:rPr>
        <w:t xml:space="preserve">Stejně jako u ostatních </w:t>
      </w:r>
      <w:r w:rsidR="00AB41AA" w:rsidRPr="00A006CE">
        <w:rPr>
          <w:rFonts w:ascii="Arial" w:hAnsi="Arial" w:cs="Arial"/>
          <w:sz w:val="24"/>
          <w:szCs w:val="24"/>
        </w:rPr>
        <w:t>cefalosporin</w:t>
      </w:r>
      <w:r w:rsidR="00AB41AA">
        <w:rPr>
          <w:rFonts w:ascii="Arial" w:hAnsi="Arial" w:cs="Arial"/>
          <w:sz w:val="24"/>
          <w:szCs w:val="24"/>
        </w:rPr>
        <w:t>ů</w:t>
      </w:r>
      <w:r w:rsidRPr="00A006CE">
        <w:rPr>
          <w:rFonts w:ascii="Arial" w:hAnsi="Arial" w:cs="Arial"/>
          <w:sz w:val="24"/>
          <w:szCs w:val="24"/>
        </w:rPr>
        <w:t xml:space="preserve"> charakterizuje účinnost ceftolozanu farmakodynamický parametr T&gt;MIC</w:t>
      </w:r>
      <w:r>
        <w:rPr>
          <w:rFonts w:ascii="Arial" w:hAnsi="Arial" w:cs="Arial"/>
          <w:sz w:val="24"/>
          <w:szCs w:val="24"/>
        </w:rPr>
        <w:t>.</w:t>
      </w:r>
      <w:r w:rsidRPr="00A006CE">
        <w:rPr>
          <w:rFonts w:ascii="Arial" w:hAnsi="Arial" w:cs="Arial"/>
          <w:sz w:val="24"/>
          <w:szCs w:val="24"/>
        </w:rPr>
        <w:t xml:space="preserve"> </w:t>
      </w:r>
    </w:p>
    <w:p w14:paraId="66FF9EBD" w14:textId="3412090B" w:rsidR="00CB40BD" w:rsidRPr="00AF0330" w:rsidRDefault="00CB40BD" w:rsidP="00D0432B">
      <w:pPr>
        <w:spacing w:line="276" w:lineRule="auto"/>
        <w:contextualSpacing/>
        <w:jc w:val="both"/>
        <w:rPr>
          <w:rFonts w:ascii="Arial" w:hAnsi="Arial" w:cs="Arial"/>
          <w:sz w:val="24"/>
          <w:szCs w:val="24"/>
        </w:rPr>
      </w:pPr>
      <w:r w:rsidRPr="00C93BA2">
        <w:rPr>
          <w:rFonts w:ascii="Arial" w:hAnsi="Arial" w:cs="Arial"/>
          <w:sz w:val="24"/>
          <w:szCs w:val="24"/>
        </w:rPr>
        <w:t>Ceftazidim</w:t>
      </w:r>
      <w:r w:rsidR="00AB41AA">
        <w:rPr>
          <w:rFonts w:ascii="Arial" w:hAnsi="Arial" w:cs="Arial"/>
          <w:sz w:val="24"/>
          <w:szCs w:val="24"/>
        </w:rPr>
        <w:t>/</w:t>
      </w:r>
      <w:r w:rsidRPr="00C93BA2">
        <w:rPr>
          <w:rFonts w:ascii="Arial" w:hAnsi="Arial" w:cs="Arial"/>
          <w:sz w:val="24"/>
          <w:szCs w:val="24"/>
        </w:rPr>
        <w:t>avibaktam je kombinací známého cefalosporinu třetí generace a prvního nebetalaktamového inhibitoru betalaktamáz – avibaktamu. Na základě registračních studií je schváleno podávání ceftazidim/avibaktamu u dospělých pacientů v terapii komplikovaných nitrobřišních infekcí, komplikovaných močových infekcí včetně pyelonefritidy, nozokomiálních pneumonií včetně ventilátorových</w:t>
      </w:r>
      <w:r w:rsidR="00E3541E">
        <w:rPr>
          <w:rFonts w:ascii="Arial" w:hAnsi="Arial" w:cs="Arial"/>
          <w:sz w:val="24"/>
          <w:szCs w:val="24"/>
        </w:rPr>
        <w:t>,</w:t>
      </w:r>
      <w:r w:rsidRPr="00C93BA2">
        <w:rPr>
          <w:rFonts w:ascii="Arial" w:hAnsi="Arial" w:cs="Arial"/>
          <w:sz w:val="24"/>
          <w:szCs w:val="24"/>
        </w:rPr>
        <w:t xml:space="preserve"> a k léčbě infekcí vyvolaných gramnegativními aerobními bakteriemi s omezenými léčebnými možnostmi.</w:t>
      </w:r>
      <w:r w:rsidRPr="00E3541E">
        <w:rPr>
          <w:rFonts w:ascii="Arial" w:hAnsi="Arial" w:cs="Arial"/>
          <w:sz w:val="24"/>
          <w:szCs w:val="24"/>
          <w:vertAlign w:val="superscript"/>
        </w:rPr>
        <w:t xml:space="preserve"> (3)</w:t>
      </w:r>
    </w:p>
    <w:p w14:paraId="3A5FC681" w14:textId="41C4F2F2" w:rsidR="000E5177" w:rsidRPr="00AF0330" w:rsidRDefault="00DD209C" w:rsidP="00D0432B">
      <w:pPr>
        <w:spacing w:line="276" w:lineRule="auto"/>
        <w:contextualSpacing/>
        <w:rPr>
          <w:rFonts w:ascii="Arial" w:hAnsi="Arial" w:cs="Arial"/>
          <w:sz w:val="24"/>
          <w:szCs w:val="24"/>
        </w:rPr>
      </w:pPr>
      <w:r w:rsidRPr="00AF0330">
        <w:rPr>
          <w:rFonts w:ascii="Arial" w:hAnsi="Arial" w:cs="Arial"/>
          <w:sz w:val="24"/>
          <w:szCs w:val="24"/>
        </w:rPr>
        <w:t>Laboratoř poskytuje jednotlivým pracovištím pravidelně kumulativní antibiogramy.</w:t>
      </w:r>
    </w:p>
    <w:p w14:paraId="60671AB3" w14:textId="287783AB" w:rsidR="00DD209C" w:rsidRPr="00AF0330" w:rsidRDefault="00DD209C" w:rsidP="00D0432B">
      <w:pPr>
        <w:autoSpaceDE w:val="0"/>
        <w:autoSpaceDN w:val="0"/>
        <w:adjustRightInd w:val="0"/>
        <w:spacing w:after="0" w:line="276" w:lineRule="auto"/>
        <w:contextualSpacing/>
        <w:rPr>
          <w:rFonts w:ascii="Arial" w:hAnsi="Arial" w:cs="Arial"/>
          <w:sz w:val="24"/>
          <w:szCs w:val="24"/>
        </w:rPr>
      </w:pPr>
      <w:r w:rsidRPr="00AF0330">
        <w:rPr>
          <w:rFonts w:ascii="Arial" w:hAnsi="Arial" w:cs="Arial"/>
          <w:sz w:val="24"/>
          <w:szCs w:val="24"/>
        </w:rPr>
        <w:t>Kumulativní antibiogram může být definován jako přehled výskytu rezistence k </w:t>
      </w:r>
      <w:r w:rsidR="00DE5EDE">
        <w:rPr>
          <w:rFonts w:ascii="Arial" w:hAnsi="Arial" w:cs="Arial"/>
          <w:sz w:val="24"/>
          <w:szCs w:val="24"/>
        </w:rPr>
        <w:t>testovaným</w:t>
      </w:r>
      <w:r w:rsidRPr="00AF0330">
        <w:rPr>
          <w:rFonts w:ascii="Arial" w:hAnsi="Arial" w:cs="Arial"/>
          <w:sz w:val="24"/>
          <w:szCs w:val="24"/>
        </w:rPr>
        <w:t xml:space="preserve"> antibiotikům u bakterií izolovaných z biologického materiálu pacienta.</w:t>
      </w:r>
      <w:r w:rsidRPr="00180052">
        <w:rPr>
          <w:rFonts w:ascii="Arial" w:hAnsi="Arial" w:cs="Arial"/>
          <w:sz w:val="24"/>
          <w:szCs w:val="24"/>
          <w:vertAlign w:val="superscript"/>
        </w:rPr>
        <w:t xml:space="preserve"> (</w:t>
      </w:r>
      <w:r w:rsidR="00CB40BD" w:rsidRPr="00180052">
        <w:rPr>
          <w:rFonts w:ascii="Arial" w:hAnsi="Arial" w:cs="Arial"/>
          <w:sz w:val="24"/>
          <w:szCs w:val="24"/>
          <w:vertAlign w:val="superscript"/>
        </w:rPr>
        <w:t>4</w:t>
      </w:r>
      <w:r w:rsidRPr="00180052">
        <w:rPr>
          <w:rFonts w:ascii="Arial" w:hAnsi="Arial" w:cs="Arial"/>
          <w:sz w:val="24"/>
          <w:szCs w:val="24"/>
          <w:vertAlign w:val="superscript"/>
        </w:rPr>
        <w:t>)</w:t>
      </w:r>
    </w:p>
    <w:p w14:paraId="6E7822AF" w14:textId="0C0306D9" w:rsidR="00DD209C" w:rsidRPr="00AF0330" w:rsidRDefault="00DD209C" w:rsidP="00D0432B">
      <w:pPr>
        <w:autoSpaceDE w:val="0"/>
        <w:autoSpaceDN w:val="0"/>
        <w:adjustRightInd w:val="0"/>
        <w:spacing w:after="0" w:line="276" w:lineRule="auto"/>
        <w:contextualSpacing/>
        <w:rPr>
          <w:rFonts w:ascii="Arial" w:hAnsi="Arial" w:cs="Arial"/>
          <w:sz w:val="24"/>
          <w:szCs w:val="24"/>
        </w:rPr>
      </w:pPr>
      <w:r w:rsidRPr="00AF0330">
        <w:rPr>
          <w:rFonts w:ascii="Arial" w:hAnsi="Arial" w:cs="Arial"/>
          <w:sz w:val="24"/>
          <w:szCs w:val="24"/>
        </w:rPr>
        <w:t xml:space="preserve">Užitečnost kumulativních antibiogramů závisí především na robustních vstupních datech (tj. standardizované testování citlivosti k bakterií k antibiotikům) stejně tak </w:t>
      </w:r>
      <w:r w:rsidRPr="00AF0330">
        <w:rPr>
          <w:rFonts w:ascii="Arial" w:hAnsi="Arial" w:cs="Arial"/>
          <w:sz w:val="24"/>
          <w:szCs w:val="24"/>
        </w:rPr>
        <w:lastRenderedPageBreak/>
        <w:t>jako na transparentnosti a shodném vytváření antibiogramů napříč různými mikrobiologickými laboratořemi.</w:t>
      </w:r>
      <w:r w:rsidRPr="00E3541E">
        <w:rPr>
          <w:rFonts w:ascii="Arial" w:hAnsi="Arial" w:cs="Arial"/>
          <w:sz w:val="24"/>
          <w:szCs w:val="24"/>
          <w:vertAlign w:val="superscript"/>
        </w:rPr>
        <w:t xml:space="preserve"> (</w:t>
      </w:r>
      <w:r w:rsidR="00CB40BD" w:rsidRPr="00E3541E">
        <w:rPr>
          <w:rFonts w:ascii="Arial" w:hAnsi="Arial" w:cs="Arial"/>
          <w:sz w:val="24"/>
          <w:szCs w:val="24"/>
          <w:vertAlign w:val="superscript"/>
        </w:rPr>
        <w:t>5,6</w:t>
      </w:r>
      <w:r w:rsidRPr="00E3541E">
        <w:rPr>
          <w:rFonts w:ascii="Arial" w:hAnsi="Arial" w:cs="Arial"/>
          <w:sz w:val="24"/>
          <w:szCs w:val="24"/>
          <w:vertAlign w:val="superscript"/>
        </w:rPr>
        <w:t>)</w:t>
      </w:r>
    </w:p>
    <w:p w14:paraId="1DF21071" w14:textId="11D795BA" w:rsidR="0030641B" w:rsidRPr="00AF0330" w:rsidRDefault="00DD209C" w:rsidP="00D0432B">
      <w:pPr>
        <w:spacing w:line="276" w:lineRule="auto"/>
        <w:contextualSpacing/>
        <w:rPr>
          <w:rFonts w:ascii="Arial" w:hAnsi="Arial" w:cs="Arial"/>
          <w:sz w:val="24"/>
          <w:szCs w:val="24"/>
        </w:rPr>
      </w:pPr>
      <w:r w:rsidRPr="00AF0330">
        <w:rPr>
          <w:rFonts w:ascii="Arial" w:hAnsi="Arial" w:cs="Arial"/>
          <w:sz w:val="24"/>
          <w:szCs w:val="24"/>
        </w:rPr>
        <w:t>Spolehlivé kumulativní antibiogramy mohou výrazně pomoci jak při zamezení nesprávné volby antibiotika, tak při snížení excesivního používání širokospektrých antibiotik v okamžiku, kdy u konkrétního pacienta výsledky mikrobiologického vyšetření a stanovení citlivosti na antibiotika ještě nejsou k dispozici.</w:t>
      </w:r>
    </w:p>
    <w:p w14:paraId="31E9BFB9" w14:textId="3B91F3ED" w:rsidR="0030641B" w:rsidRPr="00AF0330" w:rsidRDefault="005265B6" w:rsidP="00D0432B">
      <w:pPr>
        <w:spacing w:line="276" w:lineRule="auto"/>
        <w:contextualSpacing/>
        <w:rPr>
          <w:rFonts w:ascii="Arial" w:hAnsi="Arial" w:cs="Arial"/>
          <w:sz w:val="24"/>
          <w:szCs w:val="24"/>
        </w:rPr>
      </w:pPr>
      <w:r>
        <w:rPr>
          <w:rFonts w:ascii="Arial" w:hAnsi="Arial" w:cs="Arial"/>
          <w:sz w:val="24"/>
          <w:szCs w:val="24"/>
        </w:rPr>
        <w:t xml:space="preserve">V rámci Antimikrobní stewardshipu, </w:t>
      </w:r>
      <w:r w:rsidR="00DE5EDE">
        <w:rPr>
          <w:rFonts w:ascii="Arial" w:hAnsi="Arial" w:cs="Arial"/>
          <w:sz w:val="24"/>
          <w:szCs w:val="24"/>
        </w:rPr>
        <w:t>kd</w:t>
      </w:r>
      <w:r>
        <w:rPr>
          <w:rFonts w:ascii="Arial" w:hAnsi="Arial" w:cs="Arial"/>
          <w:sz w:val="24"/>
          <w:szCs w:val="24"/>
        </w:rPr>
        <w:t>e kumulativní antibiogramy jsou jedním z jeho základních pilířů, je nutná stratifikace jednotlivých da</w:t>
      </w:r>
      <w:r w:rsidR="00E3541E">
        <w:rPr>
          <w:rFonts w:ascii="Arial" w:hAnsi="Arial" w:cs="Arial"/>
          <w:sz w:val="24"/>
          <w:szCs w:val="24"/>
        </w:rPr>
        <w:t>t</w:t>
      </w:r>
      <w:r>
        <w:rPr>
          <w:rFonts w:ascii="Arial" w:hAnsi="Arial" w:cs="Arial"/>
          <w:sz w:val="24"/>
          <w:szCs w:val="24"/>
        </w:rPr>
        <w:t xml:space="preserve">, tzn. </w:t>
      </w:r>
      <w:r w:rsidR="00DE5EDE">
        <w:rPr>
          <w:rFonts w:ascii="Arial" w:hAnsi="Arial" w:cs="Arial"/>
          <w:sz w:val="24"/>
          <w:szCs w:val="24"/>
        </w:rPr>
        <w:t>j</w:t>
      </w:r>
      <w:r>
        <w:rPr>
          <w:rFonts w:ascii="Arial" w:hAnsi="Arial" w:cs="Arial"/>
          <w:sz w:val="24"/>
          <w:szCs w:val="24"/>
        </w:rPr>
        <w:t>e nutné provádět subanalýzy dat například u izolátů stejného druhu z různých klinických materiálů (Graf 1</w:t>
      </w:r>
      <w:r w:rsidR="008F2971">
        <w:rPr>
          <w:rFonts w:ascii="Arial" w:hAnsi="Arial" w:cs="Arial"/>
          <w:sz w:val="24"/>
          <w:szCs w:val="24"/>
        </w:rPr>
        <w:t>, 2)</w:t>
      </w:r>
      <w:r w:rsidR="00524B18">
        <w:rPr>
          <w:rFonts w:ascii="Arial" w:hAnsi="Arial" w:cs="Arial"/>
          <w:sz w:val="24"/>
          <w:szCs w:val="24"/>
        </w:rPr>
        <w:t>, neboť tato se může lišit.</w:t>
      </w:r>
    </w:p>
    <w:p w14:paraId="2DC8C514" w14:textId="0A3D67DC" w:rsidR="0030641B" w:rsidRPr="00AF0330" w:rsidRDefault="0030641B" w:rsidP="00D0432B">
      <w:pPr>
        <w:spacing w:line="276" w:lineRule="auto"/>
        <w:contextualSpacing/>
        <w:rPr>
          <w:rFonts w:ascii="Arial" w:hAnsi="Arial" w:cs="Arial"/>
          <w:sz w:val="24"/>
          <w:szCs w:val="24"/>
        </w:rPr>
      </w:pPr>
    </w:p>
    <w:p w14:paraId="70C6235C" w14:textId="69479B45" w:rsidR="0030641B" w:rsidRPr="00AF0330" w:rsidRDefault="008F2971" w:rsidP="00D0432B">
      <w:pPr>
        <w:spacing w:line="276" w:lineRule="auto"/>
        <w:contextualSpacing/>
        <w:rPr>
          <w:rFonts w:ascii="Arial" w:hAnsi="Arial" w:cs="Arial"/>
          <w:sz w:val="24"/>
          <w:szCs w:val="24"/>
        </w:rPr>
      </w:pPr>
      <w:r>
        <w:rPr>
          <w:rFonts w:ascii="Arial" w:hAnsi="Arial" w:cs="Arial"/>
          <w:sz w:val="24"/>
          <w:szCs w:val="24"/>
        </w:rPr>
        <w:t>Graf 1:</w:t>
      </w:r>
      <w:r w:rsidR="000F2781">
        <w:rPr>
          <w:rFonts w:ascii="Arial" w:hAnsi="Arial" w:cs="Arial"/>
          <w:sz w:val="24"/>
          <w:szCs w:val="24"/>
        </w:rPr>
        <w:t xml:space="preserve"> </w:t>
      </w:r>
      <w:r>
        <w:rPr>
          <w:rFonts w:ascii="Arial" w:hAnsi="Arial" w:cs="Arial"/>
          <w:sz w:val="24"/>
          <w:szCs w:val="24"/>
        </w:rPr>
        <w:t xml:space="preserve">Kumulativní antibiogram </w:t>
      </w:r>
      <w:r w:rsidRPr="00DE5EDE">
        <w:rPr>
          <w:rFonts w:ascii="Arial" w:hAnsi="Arial" w:cs="Arial"/>
          <w:i/>
          <w:iCs/>
          <w:sz w:val="24"/>
          <w:szCs w:val="24"/>
        </w:rPr>
        <w:t>P.</w:t>
      </w:r>
      <w:r w:rsidR="00E3541E">
        <w:rPr>
          <w:rFonts w:ascii="Arial" w:hAnsi="Arial" w:cs="Arial"/>
          <w:i/>
          <w:iCs/>
          <w:sz w:val="24"/>
          <w:szCs w:val="24"/>
        </w:rPr>
        <w:t xml:space="preserve"> </w:t>
      </w:r>
      <w:r w:rsidRPr="00DE5EDE">
        <w:rPr>
          <w:rFonts w:ascii="Arial" w:hAnsi="Arial" w:cs="Arial"/>
          <w:i/>
          <w:iCs/>
          <w:sz w:val="24"/>
          <w:szCs w:val="24"/>
        </w:rPr>
        <w:t>aeruginosa</w:t>
      </w:r>
      <w:r>
        <w:rPr>
          <w:rFonts w:ascii="Arial" w:hAnsi="Arial" w:cs="Arial"/>
          <w:sz w:val="24"/>
          <w:szCs w:val="24"/>
        </w:rPr>
        <w:t xml:space="preserve"> izolovaných z hemokultur v letech 2019-2021 ve VFN.</w:t>
      </w:r>
    </w:p>
    <w:p w14:paraId="5995001E" w14:textId="40EAC973" w:rsidR="0030641B" w:rsidRDefault="00A62C3F" w:rsidP="00D0432B">
      <w:pPr>
        <w:spacing w:line="276" w:lineRule="auto"/>
        <w:contextualSpacing/>
        <w:rPr>
          <w:rFonts w:ascii="Arial" w:hAnsi="Arial" w:cs="Arial"/>
          <w:sz w:val="24"/>
          <w:szCs w:val="24"/>
        </w:rPr>
      </w:pPr>
      <w:r w:rsidRPr="00A62C3F">
        <w:rPr>
          <w:rFonts w:ascii="Arial" w:hAnsi="Arial" w:cs="Arial"/>
          <w:noProof/>
          <w:sz w:val="24"/>
          <w:szCs w:val="24"/>
        </w:rPr>
        <w:drawing>
          <wp:inline distT="0" distB="0" distL="0" distR="0" wp14:anchorId="509C94CE" wp14:editId="7B1C8D8A">
            <wp:extent cx="5760720" cy="2607310"/>
            <wp:effectExtent l="0" t="0" r="11430" b="2540"/>
            <wp:docPr id="1" name="Graf 1">
              <a:extLst xmlns:a="http://schemas.openxmlformats.org/drawingml/2006/main">
                <a:ext uri="{FF2B5EF4-FFF2-40B4-BE49-F238E27FC236}">
                  <a16:creationId xmlns:a16="http://schemas.microsoft.com/office/drawing/2014/main" id="{0F0F84BA-0BB0-4CDD-B1B5-706739E8A7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4880CF" w14:textId="116EE16B" w:rsidR="000F2781" w:rsidRPr="000F2781" w:rsidRDefault="000F2781" w:rsidP="00D0432B">
      <w:pPr>
        <w:spacing w:line="276" w:lineRule="auto"/>
        <w:contextualSpacing/>
        <w:rPr>
          <w:rFonts w:ascii="Arial" w:hAnsi="Arial" w:cs="Arial"/>
          <w:sz w:val="20"/>
          <w:szCs w:val="20"/>
        </w:rPr>
      </w:pPr>
      <w:r w:rsidRPr="000F2781">
        <w:rPr>
          <w:rFonts w:ascii="Arial" w:hAnsi="Arial" w:cs="Arial"/>
          <w:sz w:val="20"/>
          <w:szCs w:val="20"/>
        </w:rPr>
        <w:t>Zkratky</w:t>
      </w:r>
      <w:r w:rsidR="00E3541E">
        <w:rPr>
          <w:rFonts w:ascii="Arial" w:hAnsi="Arial" w:cs="Arial"/>
          <w:sz w:val="20"/>
          <w:szCs w:val="20"/>
        </w:rPr>
        <w:t>:</w:t>
      </w:r>
      <w:r w:rsidRPr="000F2781">
        <w:rPr>
          <w:rFonts w:ascii="Arial" w:hAnsi="Arial" w:cs="Arial"/>
          <w:sz w:val="20"/>
          <w:szCs w:val="20"/>
        </w:rPr>
        <w:t xml:space="preserve"> AMI – amikacin; CIP – ciprofloxacin; CTZ – ceftazidim; GEN – gentamicin; MER – meropenem; PIT – piperacilin/tazoba</w:t>
      </w:r>
      <w:r>
        <w:rPr>
          <w:rFonts w:ascii="Arial" w:hAnsi="Arial" w:cs="Arial"/>
          <w:sz w:val="20"/>
          <w:szCs w:val="20"/>
        </w:rPr>
        <w:t>k</w:t>
      </w:r>
      <w:r w:rsidRPr="000F2781">
        <w:rPr>
          <w:rFonts w:ascii="Arial" w:hAnsi="Arial" w:cs="Arial"/>
          <w:sz w:val="20"/>
          <w:szCs w:val="20"/>
        </w:rPr>
        <w:t>tam; CTL – ceftolozan/tazoba</w:t>
      </w:r>
      <w:r>
        <w:rPr>
          <w:rFonts w:ascii="Arial" w:hAnsi="Arial" w:cs="Arial"/>
          <w:sz w:val="20"/>
          <w:szCs w:val="20"/>
        </w:rPr>
        <w:t>k</w:t>
      </w:r>
      <w:r w:rsidRPr="000F2781">
        <w:rPr>
          <w:rFonts w:ascii="Arial" w:hAnsi="Arial" w:cs="Arial"/>
          <w:sz w:val="20"/>
          <w:szCs w:val="20"/>
        </w:rPr>
        <w:t xml:space="preserve">tam </w:t>
      </w:r>
    </w:p>
    <w:p w14:paraId="0A3F05B7" w14:textId="6AF3CA5D" w:rsidR="000F2781" w:rsidRPr="00AF0330" w:rsidRDefault="000F2781" w:rsidP="00D0432B">
      <w:pPr>
        <w:spacing w:line="276" w:lineRule="auto"/>
        <w:contextualSpacing/>
        <w:rPr>
          <w:rFonts w:ascii="Arial" w:hAnsi="Arial" w:cs="Arial"/>
          <w:sz w:val="24"/>
          <w:szCs w:val="24"/>
        </w:rPr>
      </w:pPr>
    </w:p>
    <w:p w14:paraId="27801E68" w14:textId="65CA8A21" w:rsidR="008F2971" w:rsidRPr="00AF0330" w:rsidRDefault="008F2971" w:rsidP="00D0432B">
      <w:pPr>
        <w:spacing w:line="276" w:lineRule="auto"/>
        <w:contextualSpacing/>
        <w:rPr>
          <w:rFonts w:ascii="Arial" w:hAnsi="Arial" w:cs="Arial"/>
          <w:sz w:val="24"/>
          <w:szCs w:val="24"/>
        </w:rPr>
      </w:pPr>
      <w:r>
        <w:rPr>
          <w:rFonts w:ascii="Arial" w:hAnsi="Arial" w:cs="Arial"/>
          <w:sz w:val="24"/>
          <w:szCs w:val="24"/>
        </w:rPr>
        <w:t xml:space="preserve">Graf 2: Kumulativní antibiogram </w:t>
      </w:r>
      <w:r w:rsidRPr="008F2971">
        <w:rPr>
          <w:rFonts w:ascii="Arial" w:hAnsi="Arial" w:cs="Arial"/>
          <w:i/>
          <w:iCs/>
          <w:sz w:val="24"/>
          <w:szCs w:val="24"/>
        </w:rPr>
        <w:t>P.</w:t>
      </w:r>
      <w:r w:rsidR="00E3541E">
        <w:rPr>
          <w:rFonts w:ascii="Arial" w:hAnsi="Arial" w:cs="Arial"/>
          <w:i/>
          <w:iCs/>
          <w:sz w:val="24"/>
          <w:szCs w:val="24"/>
        </w:rPr>
        <w:t xml:space="preserve"> </w:t>
      </w:r>
      <w:r w:rsidRPr="008F2971">
        <w:rPr>
          <w:rFonts w:ascii="Arial" w:hAnsi="Arial" w:cs="Arial"/>
          <w:i/>
          <w:iCs/>
          <w:sz w:val="24"/>
          <w:szCs w:val="24"/>
        </w:rPr>
        <w:t>aeruginosa</w:t>
      </w:r>
      <w:r>
        <w:rPr>
          <w:rFonts w:ascii="Arial" w:hAnsi="Arial" w:cs="Arial"/>
          <w:sz w:val="24"/>
          <w:szCs w:val="24"/>
        </w:rPr>
        <w:t xml:space="preserve"> izolovaných z ostatních klinicky validních materiálů v letech 2019-2021 ve VFN.</w:t>
      </w:r>
    </w:p>
    <w:p w14:paraId="5DCA7691" w14:textId="3B338A58" w:rsidR="0030641B" w:rsidRPr="00AF0330" w:rsidRDefault="0030641B" w:rsidP="00D0432B">
      <w:pPr>
        <w:spacing w:line="276" w:lineRule="auto"/>
        <w:contextualSpacing/>
        <w:rPr>
          <w:rFonts w:ascii="Arial" w:hAnsi="Arial" w:cs="Arial"/>
          <w:sz w:val="24"/>
          <w:szCs w:val="24"/>
        </w:rPr>
      </w:pPr>
    </w:p>
    <w:p w14:paraId="434F1A80" w14:textId="30821491" w:rsidR="0030641B" w:rsidRDefault="00A62C3F" w:rsidP="00D0432B">
      <w:pPr>
        <w:spacing w:line="276" w:lineRule="auto"/>
        <w:contextualSpacing/>
        <w:rPr>
          <w:rFonts w:ascii="Arial" w:hAnsi="Arial" w:cs="Arial"/>
          <w:sz w:val="24"/>
          <w:szCs w:val="24"/>
        </w:rPr>
      </w:pPr>
      <w:r w:rsidRPr="00A62C3F">
        <w:rPr>
          <w:rFonts w:ascii="Arial" w:hAnsi="Arial" w:cs="Arial"/>
          <w:noProof/>
          <w:sz w:val="24"/>
          <w:szCs w:val="24"/>
        </w:rPr>
        <w:drawing>
          <wp:inline distT="0" distB="0" distL="0" distR="0" wp14:anchorId="627BEDA1" wp14:editId="2F24725D">
            <wp:extent cx="5760720" cy="2355850"/>
            <wp:effectExtent l="0" t="0" r="11430" b="6350"/>
            <wp:docPr id="2" name="Graf 2">
              <a:extLst xmlns:a="http://schemas.openxmlformats.org/drawingml/2006/main">
                <a:ext uri="{FF2B5EF4-FFF2-40B4-BE49-F238E27FC236}">
                  <a16:creationId xmlns:a16="http://schemas.microsoft.com/office/drawing/2014/main" id="{27529D88-E96E-4CA7-B3B8-419B7BA63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01BA7F" w14:textId="26220009" w:rsidR="000F2781" w:rsidRPr="000F2781" w:rsidRDefault="000F2781" w:rsidP="00D0432B">
      <w:pPr>
        <w:spacing w:line="276" w:lineRule="auto"/>
        <w:contextualSpacing/>
        <w:rPr>
          <w:rFonts w:ascii="Arial" w:hAnsi="Arial" w:cs="Arial"/>
          <w:sz w:val="20"/>
          <w:szCs w:val="20"/>
        </w:rPr>
      </w:pPr>
      <w:r w:rsidRPr="000F2781">
        <w:rPr>
          <w:rFonts w:ascii="Arial" w:hAnsi="Arial" w:cs="Arial"/>
          <w:sz w:val="20"/>
          <w:szCs w:val="20"/>
        </w:rPr>
        <w:t>Zkratky</w:t>
      </w:r>
      <w:r w:rsidR="00E3541E">
        <w:rPr>
          <w:rFonts w:ascii="Arial" w:hAnsi="Arial" w:cs="Arial"/>
          <w:sz w:val="20"/>
          <w:szCs w:val="20"/>
        </w:rPr>
        <w:t>:</w:t>
      </w:r>
      <w:r w:rsidRPr="000F2781">
        <w:rPr>
          <w:rFonts w:ascii="Arial" w:hAnsi="Arial" w:cs="Arial"/>
          <w:sz w:val="20"/>
          <w:szCs w:val="20"/>
        </w:rPr>
        <w:t xml:space="preserve"> AMI – amikacin; CIP – ciprofloxacin; CTZ – ceftazidim; GEN – gentamicin; MER – meropenem; PIT – piperacilin/tazoba</w:t>
      </w:r>
      <w:r>
        <w:rPr>
          <w:rFonts w:ascii="Arial" w:hAnsi="Arial" w:cs="Arial"/>
          <w:sz w:val="20"/>
          <w:szCs w:val="20"/>
        </w:rPr>
        <w:t>k</w:t>
      </w:r>
      <w:r w:rsidRPr="000F2781">
        <w:rPr>
          <w:rFonts w:ascii="Arial" w:hAnsi="Arial" w:cs="Arial"/>
          <w:sz w:val="20"/>
          <w:szCs w:val="20"/>
        </w:rPr>
        <w:t>tam; CTL – ceftolozan/tazoba</w:t>
      </w:r>
      <w:r>
        <w:rPr>
          <w:rFonts w:ascii="Arial" w:hAnsi="Arial" w:cs="Arial"/>
          <w:sz w:val="20"/>
          <w:szCs w:val="20"/>
        </w:rPr>
        <w:t>k</w:t>
      </w:r>
      <w:r w:rsidRPr="000F2781">
        <w:rPr>
          <w:rFonts w:ascii="Arial" w:hAnsi="Arial" w:cs="Arial"/>
          <w:sz w:val="20"/>
          <w:szCs w:val="20"/>
        </w:rPr>
        <w:t xml:space="preserve">tam </w:t>
      </w:r>
    </w:p>
    <w:p w14:paraId="095BC0D7" w14:textId="7D5C4B10" w:rsidR="000F2781" w:rsidRDefault="000F2781" w:rsidP="00D0432B">
      <w:pPr>
        <w:spacing w:line="276" w:lineRule="auto"/>
        <w:contextualSpacing/>
        <w:rPr>
          <w:rFonts w:ascii="Arial" w:hAnsi="Arial" w:cs="Arial"/>
          <w:sz w:val="24"/>
          <w:szCs w:val="24"/>
        </w:rPr>
      </w:pPr>
    </w:p>
    <w:p w14:paraId="58B8961A" w14:textId="15104FC3" w:rsidR="000F2781" w:rsidRPr="00AF0330" w:rsidRDefault="000F2781" w:rsidP="00D0432B">
      <w:pPr>
        <w:spacing w:line="276" w:lineRule="auto"/>
        <w:contextualSpacing/>
        <w:rPr>
          <w:rFonts w:ascii="Arial" w:hAnsi="Arial" w:cs="Arial"/>
          <w:sz w:val="24"/>
          <w:szCs w:val="24"/>
        </w:rPr>
      </w:pPr>
      <w:r>
        <w:rPr>
          <w:rFonts w:ascii="Arial" w:hAnsi="Arial" w:cs="Arial"/>
          <w:sz w:val="24"/>
          <w:szCs w:val="24"/>
        </w:rPr>
        <w:lastRenderedPageBreak/>
        <w:t>Disková difuzní metoda poskytuje pouze kvalitativní výsledky (citlivý/rezistentní), ale nelze pozorovat trend případných změn v minimálních inhibičních koncentracích (MIC), které mohou včas upozornit na změnu v citlivosti kmenů vůči jednotlivým antibiotikům. Distribuce MIC v porovnání s breakpointem má informativní hodnotu pro hodnocení klinické účinnosti</w:t>
      </w:r>
      <w:r w:rsidR="000E385C">
        <w:rPr>
          <w:rFonts w:ascii="Arial" w:hAnsi="Arial" w:cs="Arial"/>
          <w:sz w:val="24"/>
          <w:szCs w:val="24"/>
        </w:rPr>
        <w:t xml:space="preserve"> (Graf 3, 4)</w:t>
      </w:r>
      <w:r w:rsidR="00E3541E">
        <w:rPr>
          <w:rFonts w:ascii="Arial" w:hAnsi="Arial" w:cs="Arial"/>
          <w:sz w:val="24"/>
          <w:szCs w:val="24"/>
        </w:rPr>
        <w:t>.</w:t>
      </w:r>
      <w:r>
        <w:rPr>
          <w:rFonts w:ascii="Arial" w:hAnsi="Arial" w:cs="Arial"/>
          <w:sz w:val="24"/>
          <w:szCs w:val="24"/>
        </w:rPr>
        <w:t xml:space="preserve"> Čím nižší je hodnota MIC vůči breakpointu, tím je vyšší šance na dosažení </w:t>
      </w:r>
      <w:r w:rsidR="00961402">
        <w:rPr>
          <w:rFonts w:ascii="Arial" w:hAnsi="Arial" w:cs="Arial"/>
          <w:sz w:val="24"/>
          <w:szCs w:val="24"/>
        </w:rPr>
        <w:t>účinných koncentrací v místě probíhající infekce při respektování PK/PD parametrů jednotlivých antibiotik.</w:t>
      </w:r>
    </w:p>
    <w:p w14:paraId="17DA2693" w14:textId="77777777" w:rsidR="00176B85" w:rsidRDefault="00176B85" w:rsidP="00D0432B">
      <w:pPr>
        <w:spacing w:line="276" w:lineRule="auto"/>
        <w:contextualSpacing/>
        <w:rPr>
          <w:rFonts w:ascii="Arial" w:hAnsi="Arial" w:cs="Arial"/>
          <w:sz w:val="24"/>
          <w:szCs w:val="24"/>
        </w:rPr>
      </w:pPr>
    </w:p>
    <w:p w14:paraId="60295D27" w14:textId="2DD0A204" w:rsidR="000E385C" w:rsidRPr="00AF0330" w:rsidRDefault="000E385C" w:rsidP="00D0432B">
      <w:pPr>
        <w:spacing w:line="276" w:lineRule="auto"/>
        <w:contextualSpacing/>
        <w:rPr>
          <w:rFonts w:ascii="Arial" w:hAnsi="Arial" w:cs="Arial"/>
          <w:sz w:val="24"/>
          <w:szCs w:val="24"/>
        </w:rPr>
      </w:pPr>
      <w:r>
        <w:rPr>
          <w:rFonts w:ascii="Arial" w:hAnsi="Arial" w:cs="Arial"/>
          <w:sz w:val="24"/>
          <w:szCs w:val="24"/>
        </w:rPr>
        <w:t xml:space="preserve">Graf 3. Distribuce MIC ceftolozan/tazobaktamu u citlivých izolátů </w:t>
      </w:r>
      <w:r w:rsidRPr="000E385C">
        <w:rPr>
          <w:rFonts w:ascii="Arial" w:hAnsi="Arial" w:cs="Arial"/>
          <w:i/>
          <w:iCs/>
          <w:sz w:val="24"/>
          <w:szCs w:val="24"/>
        </w:rPr>
        <w:t>P.</w:t>
      </w:r>
      <w:r w:rsidR="00E3541E">
        <w:rPr>
          <w:rFonts w:ascii="Arial" w:hAnsi="Arial" w:cs="Arial"/>
          <w:i/>
          <w:iCs/>
          <w:sz w:val="24"/>
          <w:szCs w:val="24"/>
        </w:rPr>
        <w:t xml:space="preserve"> </w:t>
      </w:r>
      <w:r w:rsidRPr="000E385C">
        <w:rPr>
          <w:rFonts w:ascii="Arial" w:hAnsi="Arial" w:cs="Arial"/>
          <w:i/>
          <w:iCs/>
          <w:sz w:val="24"/>
          <w:szCs w:val="24"/>
        </w:rPr>
        <w:t>aeruginosa</w:t>
      </w:r>
      <w:r>
        <w:rPr>
          <w:rFonts w:ascii="Arial" w:hAnsi="Arial" w:cs="Arial"/>
          <w:sz w:val="24"/>
          <w:szCs w:val="24"/>
        </w:rPr>
        <w:t xml:space="preserve"> a u kmenů DTR.</w:t>
      </w:r>
    </w:p>
    <w:p w14:paraId="3CD50575" w14:textId="31520035" w:rsidR="0030641B" w:rsidRPr="00AF0330" w:rsidRDefault="00A62C3F" w:rsidP="00D0432B">
      <w:pPr>
        <w:spacing w:line="276" w:lineRule="auto"/>
        <w:contextualSpacing/>
        <w:rPr>
          <w:rFonts w:ascii="Arial" w:hAnsi="Arial" w:cs="Arial"/>
          <w:sz w:val="24"/>
          <w:szCs w:val="24"/>
        </w:rPr>
      </w:pPr>
      <w:r w:rsidRPr="00A62C3F">
        <w:rPr>
          <w:rFonts w:ascii="Arial" w:hAnsi="Arial" w:cs="Arial"/>
          <w:noProof/>
          <w:sz w:val="24"/>
          <w:szCs w:val="24"/>
        </w:rPr>
        <w:drawing>
          <wp:inline distT="0" distB="0" distL="0" distR="0" wp14:anchorId="31DEC852" wp14:editId="37E43EF2">
            <wp:extent cx="5760720" cy="3536315"/>
            <wp:effectExtent l="0" t="0" r="11430" b="6985"/>
            <wp:docPr id="3" name="Graf 3">
              <a:extLst xmlns:a="http://schemas.openxmlformats.org/drawingml/2006/main">
                <a:ext uri="{FF2B5EF4-FFF2-40B4-BE49-F238E27FC236}">
                  <a16:creationId xmlns:a16="http://schemas.microsoft.com/office/drawing/2014/main" id="{48F0BF72-5231-4943-A41F-73027B132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2625FD" w14:textId="719BB2F4" w:rsidR="000E385C" w:rsidRPr="000E385C" w:rsidRDefault="000E385C" w:rsidP="00D0432B">
      <w:pPr>
        <w:spacing w:line="276" w:lineRule="auto"/>
        <w:contextualSpacing/>
        <w:rPr>
          <w:rFonts w:ascii="Arial" w:hAnsi="Arial" w:cs="Arial"/>
          <w:sz w:val="20"/>
          <w:szCs w:val="20"/>
        </w:rPr>
      </w:pPr>
      <w:r w:rsidRPr="000E385C">
        <w:rPr>
          <w:rFonts w:ascii="Arial" w:hAnsi="Arial" w:cs="Arial"/>
          <w:sz w:val="20"/>
          <w:szCs w:val="20"/>
        </w:rPr>
        <w:t xml:space="preserve">Vysvětlivky: S-senzitivní; R-rezistentní; PSAEsusc. – </w:t>
      </w:r>
      <w:r w:rsidRPr="000E385C">
        <w:rPr>
          <w:rFonts w:ascii="Arial" w:hAnsi="Arial" w:cs="Arial"/>
          <w:i/>
          <w:iCs/>
          <w:sz w:val="20"/>
          <w:szCs w:val="20"/>
        </w:rPr>
        <w:t>P.</w:t>
      </w:r>
      <w:r w:rsidR="00E3541E">
        <w:rPr>
          <w:rFonts w:ascii="Arial" w:hAnsi="Arial" w:cs="Arial"/>
          <w:i/>
          <w:iCs/>
          <w:sz w:val="20"/>
          <w:szCs w:val="20"/>
        </w:rPr>
        <w:t xml:space="preserve"> </w:t>
      </w:r>
      <w:r w:rsidRPr="000E385C">
        <w:rPr>
          <w:rFonts w:ascii="Arial" w:hAnsi="Arial" w:cs="Arial"/>
          <w:i/>
          <w:iCs/>
          <w:sz w:val="20"/>
          <w:szCs w:val="20"/>
        </w:rPr>
        <w:t>aeruginosa</w:t>
      </w:r>
      <w:r w:rsidRPr="000E385C">
        <w:rPr>
          <w:rFonts w:ascii="Arial" w:hAnsi="Arial" w:cs="Arial"/>
          <w:sz w:val="20"/>
          <w:szCs w:val="20"/>
        </w:rPr>
        <w:t xml:space="preserve"> dobře citlivá k ATB, DTR PSAE – </w:t>
      </w:r>
      <w:r w:rsidRPr="000E385C">
        <w:rPr>
          <w:rFonts w:ascii="Arial" w:hAnsi="Arial" w:cs="Arial"/>
          <w:i/>
          <w:iCs/>
          <w:sz w:val="20"/>
          <w:szCs w:val="20"/>
        </w:rPr>
        <w:t>P.</w:t>
      </w:r>
      <w:r w:rsidR="00E3541E">
        <w:rPr>
          <w:rFonts w:ascii="Arial" w:hAnsi="Arial" w:cs="Arial"/>
          <w:i/>
          <w:iCs/>
          <w:sz w:val="20"/>
          <w:szCs w:val="20"/>
        </w:rPr>
        <w:t xml:space="preserve"> </w:t>
      </w:r>
      <w:r w:rsidRPr="000E385C">
        <w:rPr>
          <w:rFonts w:ascii="Arial" w:hAnsi="Arial" w:cs="Arial"/>
          <w:i/>
          <w:iCs/>
          <w:sz w:val="20"/>
          <w:szCs w:val="20"/>
        </w:rPr>
        <w:t>aeruginosa</w:t>
      </w:r>
      <w:r w:rsidRPr="000E385C">
        <w:rPr>
          <w:rFonts w:ascii="Arial" w:hAnsi="Arial" w:cs="Arial"/>
          <w:sz w:val="20"/>
          <w:szCs w:val="20"/>
        </w:rPr>
        <w:t xml:space="preserve"> splňující definici DTR; breakpoint (černá čára) – odděluje citlivou a rezistentní populaci, pro ceftolozan/tazobaktam je to 4 mg/l</w:t>
      </w:r>
      <w:r>
        <w:rPr>
          <w:rFonts w:ascii="Arial" w:hAnsi="Arial" w:cs="Arial"/>
          <w:sz w:val="20"/>
          <w:szCs w:val="20"/>
        </w:rPr>
        <w:t xml:space="preserve"> dle EUCAST</w:t>
      </w:r>
    </w:p>
    <w:p w14:paraId="5D490410" w14:textId="77777777" w:rsidR="000E385C" w:rsidRDefault="000E385C" w:rsidP="00D0432B">
      <w:pPr>
        <w:spacing w:line="276" w:lineRule="auto"/>
        <w:contextualSpacing/>
        <w:rPr>
          <w:rFonts w:ascii="Arial" w:hAnsi="Arial" w:cs="Arial"/>
          <w:sz w:val="24"/>
          <w:szCs w:val="24"/>
        </w:rPr>
      </w:pPr>
    </w:p>
    <w:p w14:paraId="0B4F1AC5" w14:textId="7D2D32AC" w:rsidR="000E385C" w:rsidRPr="00AF0330" w:rsidRDefault="000E385C" w:rsidP="00D0432B">
      <w:pPr>
        <w:spacing w:line="276" w:lineRule="auto"/>
        <w:contextualSpacing/>
        <w:rPr>
          <w:rFonts w:ascii="Arial" w:hAnsi="Arial" w:cs="Arial"/>
          <w:sz w:val="24"/>
          <w:szCs w:val="24"/>
        </w:rPr>
      </w:pPr>
      <w:r>
        <w:rPr>
          <w:rFonts w:ascii="Arial" w:hAnsi="Arial" w:cs="Arial"/>
          <w:sz w:val="24"/>
          <w:szCs w:val="24"/>
        </w:rPr>
        <w:t xml:space="preserve">Graf 4. Distribuce MIC ceftazidim/avibaktamu u citlivých izolátů </w:t>
      </w:r>
      <w:r w:rsidRPr="000E385C">
        <w:rPr>
          <w:rFonts w:ascii="Arial" w:hAnsi="Arial" w:cs="Arial"/>
          <w:i/>
          <w:iCs/>
          <w:sz w:val="24"/>
          <w:szCs w:val="24"/>
        </w:rPr>
        <w:t>P.</w:t>
      </w:r>
      <w:r w:rsidR="00E3541E">
        <w:rPr>
          <w:rFonts w:ascii="Arial" w:hAnsi="Arial" w:cs="Arial"/>
          <w:i/>
          <w:iCs/>
          <w:sz w:val="24"/>
          <w:szCs w:val="24"/>
        </w:rPr>
        <w:t xml:space="preserve"> </w:t>
      </w:r>
      <w:r w:rsidRPr="000E385C">
        <w:rPr>
          <w:rFonts w:ascii="Arial" w:hAnsi="Arial" w:cs="Arial"/>
          <w:i/>
          <w:iCs/>
          <w:sz w:val="24"/>
          <w:szCs w:val="24"/>
        </w:rPr>
        <w:t>aeruginosa</w:t>
      </w:r>
      <w:r>
        <w:rPr>
          <w:rFonts w:ascii="Arial" w:hAnsi="Arial" w:cs="Arial"/>
          <w:sz w:val="24"/>
          <w:szCs w:val="24"/>
        </w:rPr>
        <w:t xml:space="preserve"> a u kmenů DTR.</w:t>
      </w:r>
    </w:p>
    <w:p w14:paraId="74D90331" w14:textId="77777777" w:rsidR="000E385C" w:rsidRPr="00AF0330" w:rsidRDefault="000E385C" w:rsidP="00D0432B">
      <w:pPr>
        <w:spacing w:line="276" w:lineRule="auto"/>
        <w:contextualSpacing/>
        <w:rPr>
          <w:rFonts w:ascii="Arial" w:hAnsi="Arial" w:cs="Arial"/>
          <w:sz w:val="24"/>
          <w:szCs w:val="24"/>
        </w:rPr>
      </w:pPr>
    </w:p>
    <w:p w14:paraId="5FEF9E4F" w14:textId="54DEE483" w:rsidR="0030641B" w:rsidRDefault="00A62C3F" w:rsidP="00D0432B">
      <w:pPr>
        <w:spacing w:line="276" w:lineRule="auto"/>
        <w:contextualSpacing/>
        <w:rPr>
          <w:rFonts w:ascii="Arial" w:hAnsi="Arial" w:cs="Arial"/>
          <w:sz w:val="24"/>
          <w:szCs w:val="24"/>
        </w:rPr>
      </w:pPr>
      <w:r w:rsidRPr="00A62C3F">
        <w:rPr>
          <w:rFonts w:ascii="Arial" w:hAnsi="Arial" w:cs="Arial"/>
          <w:noProof/>
          <w:sz w:val="24"/>
          <w:szCs w:val="24"/>
        </w:rPr>
        <w:lastRenderedPageBreak/>
        <w:drawing>
          <wp:inline distT="0" distB="0" distL="0" distR="0" wp14:anchorId="4F30D526" wp14:editId="49FDF063">
            <wp:extent cx="5445431" cy="2819400"/>
            <wp:effectExtent l="0" t="0" r="3175" b="0"/>
            <wp:docPr id="4" name="Graf 4">
              <a:extLst xmlns:a="http://schemas.openxmlformats.org/drawingml/2006/main">
                <a:ext uri="{FF2B5EF4-FFF2-40B4-BE49-F238E27FC236}">
                  <a16:creationId xmlns:a16="http://schemas.microsoft.com/office/drawing/2014/main" id="{092067C3-344A-4152-9363-09470B043E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24ADC1" w14:textId="46EC2DCB" w:rsidR="000E385C" w:rsidRDefault="000E385C" w:rsidP="00D0432B">
      <w:pPr>
        <w:spacing w:line="276" w:lineRule="auto"/>
        <w:contextualSpacing/>
        <w:rPr>
          <w:rFonts w:ascii="Arial" w:hAnsi="Arial" w:cs="Arial"/>
          <w:sz w:val="20"/>
          <w:szCs w:val="20"/>
        </w:rPr>
      </w:pPr>
      <w:r w:rsidRPr="000E385C">
        <w:rPr>
          <w:rFonts w:ascii="Arial" w:hAnsi="Arial" w:cs="Arial"/>
          <w:sz w:val="20"/>
          <w:szCs w:val="20"/>
        </w:rPr>
        <w:t xml:space="preserve">Vysvětlivky: S-senzitivní; R-rezistentní; PSAEsusc. – </w:t>
      </w:r>
      <w:r w:rsidR="002E2FF3" w:rsidRPr="000E385C">
        <w:rPr>
          <w:rFonts w:ascii="Arial" w:hAnsi="Arial" w:cs="Arial"/>
          <w:i/>
          <w:iCs/>
          <w:sz w:val="20"/>
          <w:szCs w:val="20"/>
        </w:rPr>
        <w:t>P. aeruginosa</w:t>
      </w:r>
      <w:r w:rsidRPr="000E385C">
        <w:rPr>
          <w:rFonts w:ascii="Arial" w:hAnsi="Arial" w:cs="Arial"/>
          <w:sz w:val="20"/>
          <w:szCs w:val="20"/>
        </w:rPr>
        <w:t xml:space="preserve"> dobře citlivá k ATB, DTR PSAE – </w:t>
      </w:r>
      <w:r w:rsidR="002E2FF3" w:rsidRPr="000E385C">
        <w:rPr>
          <w:rFonts w:ascii="Arial" w:hAnsi="Arial" w:cs="Arial"/>
          <w:i/>
          <w:iCs/>
          <w:sz w:val="20"/>
          <w:szCs w:val="20"/>
        </w:rPr>
        <w:t>P. aeruginosa</w:t>
      </w:r>
      <w:r w:rsidRPr="000E385C">
        <w:rPr>
          <w:rFonts w:ascii="Arial" w:hAnsi="Arial" w:cs="Arial"/>
          <w:sz w:val="20"/>
          <w:szCs w:val="20"/>
        </w:rPr>
        <w:t xml:space="preserve"> splňující defini</w:t>
      </w:r>
      <w:r>
        <w:rPr>
          <w:rFonts w:ascii="Arial" w:hAnsi="Arial" w:cs="Arial"/>
          <w:sz w:val="20"/>
          <w:szCs w:val="20"/>
        </w:rPr>
        <w:t>ci</w:t>
      </w:r>
      <w:r w:rsidRPr="000E385C">
        <w:rPr>
          <w:rFonts w:ascii="Arial" w:hAnsi="Arial" w:cs="Arial"/>
          <w:sz w:val="20"/>
          <w:szCs w:val="20"/>
        </w:rPr>
        <w:t xml:space="preserve"> DTR; breakpoint (černá čára) – odděluje citlivou a rezistentní populaci, pro </w:t>
      </w:r>
      <w:r>
        <w:rPr>
          <w:rFonts w:ascii="Arial" w:hAnsi="Arial" w:cs="Arial"/>
          <w:sz w:val="20"/>
          <w:szCs w:val="20"/>
        </w:rPr>
        <w:t xml:space="preserve">ceftazidim/avibaktam </w:t>
      </w:r>
      <w:r w:rsidRPr="000E385C">
        <w:rPr>
          <w:rFonts w:ascii="Arial" w:hAnsi="Arial" w:cs="Arial"/>
          <w:sz w:val="20"/>
          <w:szCs w:val="20"/>
        </w:rPr>
        <w:t xml:space="preserve">je to </w:t>
      </w:r>
      <w:r>
        <w:rPr>
          <w:rFonts w:ascii="Arial" w:hAnsi="Arial" w:cs="Arial"/>
          <w:sz w:val="20"/>
          <w:szCs w:val="20"/>
        </w:rPr>
        <w:t>8</w:t>
      </w:r>
      <w:r w:rsidRPr="000E385C">
        <w:rPr>
          <w:rFonts w:ascii="Arial" w:hAnsi="Arial" w:cs="Arial"/>
          <w:sz w:val="20"/>
          <w:szCs w:val="20"/>
        </w:rPr>
        <w:t xml:space="preserve"> mg/l</w:t>
      </w:r>
      <w:r>
        <w:rPr>
          <w:rFonts w:ascii="Arial" w:hAnsi="Arial" w:cs="Arial"/>
          <w:sz w:val="20"/>
          <w:szCs w:val="20"/>
        </w:rPr>
        <w:t xml:space="preserve"> dle EUCAST</w:t>
      </w:r>
    </w:p>
    <w:p w14:paraId="6DA592D2" w14:textId="77777777" w:rsidR="00E46D6F" w:rsidRPr="000E385C" w:rsidRDefault="00E46D6F" w:rsidP="00D0432B">
      <w:pPr>
        <w:spacing w:line="276" w:lineRule="auto"/>
        <w:contextualSpacing/>
        <w:rPr>
          <w:rFonts w:ascii="Arial" w:hAnsi="Arial" w:cs="Arial"/>
          <w:sz w:val="20"/>
          <w:szCs w:val="20"/>
        </w:rPr>
      </w:pPr>
    </w:p>
    <w:p w14:paraId="05F15A5F" w14:textId="0B45911E" w:rsidR="000E385C" w:rsidRDefault="00176B85" w:rsidP="00D0432B">
      <w:pPr>
        <w:spacing w:line="276" w:lineRule="auto"/>
        <w:contextualSpacing/>
        <w:rPr>
          <w:rFonts w:ascii="Arial" w:hAnsi="Arial" w:cs="Arial"/>
          <w:sz w:val="24"/>
          <w:szCs w:val="24"/>
        </w:rPr>
      </w:pPr>
      <w:r>
        <w:rPr>
          <w:rFonts w:ascii="Arial" w:hAnsi="Arial" w:cs="Arial"/>
          <w:sz w:val="24"/>
          <w:szCs w:val="24"/>
        </w:rPr>
        <w:t xml:space="preserve">V neposlední řadě je třeba si uvědomit, že </w:t>
      </w:r>
      <w:r w:rsidR="000E4E83" w:rsidRPr="000E4E83">
        <w:rPr>
          <w:rFonts w:ascii="Arial" w:hAnsi="Arial" w:cs="Arial"/>
          <w:i/>
          <w:iCs/>
          <w:sz w:val="24"/>
          <w:szCs w:val="24"/>
        </w:rPr>
        <w:t>P. aeruginosa</w:t>
      </w:r>
      <w:r w:rsidR="000E4E83">
        <w:rPr>
          <w:rFonts w:ascii="Arial" w:hAnsi="Arial" w:cs="Arial"/>
          <w:sz w:val="24"/>
          <w:szCs w:val="24"/>
        </w:rPr>
        <w:t xml:space="preserve"> má tendenci k rychlému rozvoji </w:t>
      </w:r>
      <w:r w:rsidR="00E46D6F">
        <w:rPr>
          <w:rFonts w:ascii="Arial" w:hAnsi="Arial" w:cs="Arial"/>
          <w:sz w:val="24"/>
          <w:szCs w:val="24"/>
        </w:rPr>
        <w:t>zkřížené</w:t>
      </w:r>
      <w:r w:rsidR="000E4E83">
        <w:rPr>
          <w:rFonts w:ascii="Arial" w:hAnsi="Arial" w:cs="Arial"/>
          <w:sz w:val="24"/>
          <w:szCs w:val="24"/>
        </w:rPr>
        <w:t xml:space="preserve"> rezistence, což je třeba zohlednit především při iniciální volbě antibiotika, kdy výsledky ještě nejsou k dispozici. Proto by analýza dat měla zahrnovat i informaci o společné citlivosti u různých fenotypů rezistence (Obr. 1)</w:t>
      </w:r>
      <w:r w:rsidR="00E3541E">
        <w:rPr>
          <w:rFonts w:ascii="Arial" w:hAnsi="Arial" w:cs="Arial"/>
          <w:sz w:val="24"/>
          <w:szCs w:val="24"/>
        </w:rPr>
        <w:t>.</w:t>
      </w:r>
    </w:p>
    <w:p w14:paraId="407A6F33" w14:textId="37724D8E" w:rsidR="005B69CE" w:rsidRDefault="0074743A" w:rsidP="00D0432B">
      <w:pPr>
        <w:spacing w:line="276" w:lineRule="auto"/>
        <w:contextualSpacing/>
        <w:rPr>
          <w:rFonts w:ascii="Arial" w:hAnsi="Arial" w:cs="Arial"/>
          <w:sz w:val="24"/>
          <w:szCs w:val="24"/>
        </w:rPr>
      </w:pPr>
      <w:r>
        <w:rPr>
          <w:rFonts w:ascii="Arial" w:hAnsi="Arial" w:cs="Arial"/>
          <w:sz w:val="24"/>
          <w:szCs w:val="24"/>
        </w:rPr>
        <w:t xml:space="preserve">V našem souboru </w:t>
      </w:r>
      <w:r w:rsidR="00E46D6F">
        <w:rPr>
          <w:rFonts w:ascii="Arial" w:hAnsi="Arial" w:cs="Arial"/>
          <w:sz w:val="24"/>
          <w:szCs w:val="24"/>
        </w:rPr>
        <w:t xml:space="preserve">bylo </w:t>
      </w:r>
      <w:r>
        <w:rPr>
          <w:rFonts w:ascii="Arial" w:hAnsi="Arial" w:cs="Arial"/>
          <w:sz w:val="24"/>
          <w:szCs w:val="24"/>
        </w:rPr>
        <w:t>31 % kmenů rezistentních k meropenemu, 17 % kmenů bylo rezistentních ke dvěma antibiotiků</w:t>
      </w:r>
      <w:r w:rsidR="00E64CAE">
        <w:rPr>
          <w:rFonts w:ascii="Arial" w:hAnsi="Arial" w:cs="Arial"/>
          <w:sz w:val="24"/>
          <w:szCs w:val="24"/>
        </w:rPr>
        <w:t>m</w:t>
      </w:r>
      <w:r>
        <w:rPr>
          <w:rFonts w:ascii="Arial" w:hAnsi="Arial" w:cs="Arial"/>
          <w:sz w:val="24"/>
          <w:szCs w:val="24"/>
        </w:rPr>
        <w:t xml:space="preserve"> současně a 15 % </w:t>
      </w:r>
      <w:r w:rsidR="00E64CAE">
        <w:rPr>
          <w:rFonts w:ascii="Arial" w:hAnsi="Arial" w:cs="Arial"/>
          <w:sz w:val="24"/>
          <w:szCs w:val="24"/>
        </w:rPr>
        <w:t xml:space="preserve">izolátů bylo rezistentních zároveň </w:t>
      </w:r>
      <w:r w:rsidR="00E46D6F">
        <w:rPr>
          <w:rFonts w:ascii="Arial" w:hAnsi="Arial" w:cs="Arial"/>
          <w:sz w:val="24"/>
          <w:szCs w:val="24"/>
        </w:rPr>
        <w:t xml:space="preserve">k </w:t>
      </w:r>
      <w:r w:rsidR="00E64CAE">
        <w:rPr>
          <w:rFonts w:ascii="Arial" w:hAnsi="Arial" w:cs="Arial"/>
          <w:sz w:val="24"/>
          <w:szCs w:val="24"/>
        </w:rPr>
        <w:t>ceftazidimu, meropenemu a piperacilinu/tazobaktamu, avšak z nich byla většina (86 %) c</w:t>
      </w:r>
      <w:r w:rsidR="00E46D6F">
        <w:rPr>
          <w:rFonts w:ascii="Arial" w:hAnsi="Arial" w:cs="Arial"/>
          <w:sz w:val="24"/>
          <w:szCs w:val="24"/>
        </w:rPr>
        <w:t>i</w:t>
      </w:r>
      <w:r w:rsidR="00E64CAE">
        <w:rPr>
          <w:rFonts w:ascii="Arial" w:hAnsi="Arial" w:cs="Arial"/>
          <w:sz w:val="24"/>
          <w:szCs w:val="24"/>
        </w:rPr>
        <w:t xml:space="preserve">tlivá k ceftolozan/tazobaktamu, což implikuje jeho použití v iniciální </w:t>
      </w:r>
      <w:r w:rsidR="00E46D6F">
        <w:rPr>
          <w:rFonts w:ascii="Arial" w:hAnsi="Arial" w:cs="Arial"/>
          <w:sz w:val="24"/>
          <w:szCs w:val="24"/>
        </w:rPr>
        <w:t>terapii</w:t>
      </w:r>
      <w:r w:rsidR="00E64CAE">
        <w:rPr>
          <w:rFonts w:ascii="Arial" w:hAnsi="Arial" w:cs="Arial"/>
          <w:sz w:val="24"/>
          <w:szCs w:val="24"/>
        </w:rPr>
        <w:t xml:space="preserve"> pro nízké riziko selhání.</w:t>
      </w:r>
    </w:p>
    <w:p w14:paraId="25A85BF1" w14:textId="77777777" w:rsidR="0074743A" w:rsidRPr="00AF0330" w:rsidRDefault="0074743A" w:rsidP="00D0432B">
      <w:pPr>
        <w:spacing w:line="276" w:lineRule="auto"/>
        <w:contextualSpacing/>
        <w:rPr>
          <w:rFonts w:ascii="Arial" w:hAnsi="Arial" w:cs="Arial"/>
          <w:sz w:val="24"/>
          <w:szCs w:val="24"/>
        </w:rPr>
      </w:pPr>
    </w:p>
    <w:p w14:paraId="3B446F52" w14:textId="06DCD3B0" w:rsidR="0030641B" w:rsidRPr="00AF0330" w:rsidRDefault="000E4E83" w:rsidP="00D0432B">
      <w:pPr>
        <w:spacing w:line="276" w:lineRule="auto"/>
        <w:contextualSpacing/>
        <w:rPr>
          <w:rFonts w:ascii="Arial" w:hAnsi="Arial" w:cs="Arial"/>
          <w:sz w:val="24"/>
          <w:szCs w:val="24"/>
        </w:rPr>
      </w:pPr>
      <w:r>
        <w:rPr>
          <w:rFonts w:ascii="Arial" w:hAnsi="Arial" w:cs="Arial"/>
          <w:sz w:val="24"/>
          <w:szCs w:val="24"/>
        </w:rPr>
        <w:t xml:space="preserve">Obr. 1: Cross-rezistence u izolátů </w:t>
      </w:r>
      <w:r w:rsidRPr="000E4E83">
        <w:rPr>
          <w:rFonts w:ascii="Arial" w:hAnsi="Arial" w:cs="Arial"/>
          <w:i/>
          <w:iCs/>
          <w:sz w:val="24"/>
          <w:szCs w:val="24"/>
        </w:rPr>
        <w:t>P.</w:t>
      </w:r>
      <w:r w:rsidR="00E3541E">
        <w:rPr>
          <w:rFonts w:ascii="Arial" w:hAnsi="Arial" w:cs="Arial"/>
          <w:i/>
          <w:iCs/>
          <w:sz w:val="24"/>
          <w:szCs w:val="24"/>
        </w:rPr>
        <w:t xml:space="preserve"> </w:t>
      </w:r>
      <w:r w:rsidRPr="000E4E83">
        <w:rPr>
          <w:rFonts w:ascii="Arial" w:hAnsi="Arial" w:cs="Arial"/>
          <w:i/>
          <w:iCs/>
          <w:sz w:val="24"/>
          <w:szCs w:val="24"/>
        </w:rPr>
        <w:t>aeruginosa</w:t>
      </w:r>
      <w:r>
        <w:rPr>
          <w:rFonts w:ascii="Arial" w:hAnsi="Arial" w:cs="Arial"/>
          <w:sz w:val="24"/>
          <w:szCs w:val="24"/>
        </w:rPr>
        <w:t xml:space="preserve"> z dolních dýchacích cest.</w:t>
      </w:r>
    </w:p>
    <w:p w14:paraId="0DE79302" w14:textId="2FFE15FE" w:rsidR="0030641B" w:rsidRPr="00AF0330" w:rsidRDefault="000E4E83" w:rsidP="00D0432B">
      <w:pPr>
        <w:spacing w:line="276" w:lineRule="auto"/>
        <w:contextualSpacing/>
        <w:rPr>
          <w:rFonts w:ascii="Arial" w:hAnsi="Arial" w:cs="Arial"/>
          <w:sz w:val="24"/>
          <w:szCs w:val="24"/>
        </w:rPr>
      </w:pPr>
      <w:r w:rsidRPr="000E4E83">
        <w:rPr>
          <w:rFonts w:ascii="Arial" w:hAnsi="Arial" w:cs="Arial"/>
          <w:noProof/>
          <w:sz w:val="24"/>
          <w:szCs w:val="24"/>
        </w:rPr>
        <w:drawing>
          <wp:inline distT="0" distB="0" distL="0" distR="0" wp14:anchorId="3B52509A" wp14:editId="4545BF57">
            <wp:extent cx="5760720" cy="3600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14:paraId="502A6438" w14:textId="5856AD16" w:rsidR="000E4E83" w:rsidRPr="005B69CE" w:rsidRDefault="000E4E83" w:rsidP="00D0432B">
      <w:pPr>
        <w:spacing w:line="276" w:lineRule="auto"/>
        <w:contextualSpacing/>
        <w:rPr>
          <w:rFonts w:ascii="Arial" w:hAnsi="Arial" w:cs="Arial"/>
          <w:sz w:val="18"/>
          <w:szCs w:val="18"/>
        </w:rPr>
      </w:pPr>
      <w:r w:rsidRPr="005B69CE">
        <w:rPr>
          <w:rFonts w:ascii="Arial" w:hAnsi="Arial" w:cs="Arial"/>
          <w:sz w:val="20"/>
          <w:szCs w:val="20"/>
        </w:rPr>
        <w:lastRenderedPageBreak/>
        <w:t xml:space="preserve">Zkratky: </w:t>
      </w:r>
      <w:r w:rsidRPr="005B69CE">
        <w:rPr>
          <w:rFonts w:ascii="Arial" w:hAnsi="Arial" w:cs="Arial"/>
          <w:sz w:val="18"/>
          <w:szCs w:val="18"/>
        </w:rPr>
        <w:t>CAZ – ceftazidim; MEM – meropenem; P/T – piperacilin/tazobaktam; C/T – ceftolozan/tazobaktam</w:t>
      </w:r>
      <w:r w:rsidR="0074743A">
        <w:rPr>
          <w:rFonts w:ascii="Arial" w:hAnsi="Arial" w:cs="Arial"/>
          <w:sz w:val="18"/>
          <w:szCs w:val="18"/>
        </w:rPr>
        <w:t xml:space="preserve">; </w:t>
      </w:r>
      <w:r w:rsidR="00F3562C">
        <w:rPr>
          <w:rFonts w:ascii="Arial" w:hAnsi="Arial" w:cs="Arial"/>
          <w:sz w:val="18"/>
          <w:szCs w:val="18"/>
        </w:rPr>
        <w:t>NS – necitlivý</w:t>
      </w:r>
    </w:p>
    <w:p w14:paraId="6E2C7048" w14:textId="05539A5B" w:rsidR="0030641B" w:rsidRPr="00AF0330" w:rsidRDefault="0030641B" w:rsidP="00D0432B">
      <w:pPr>
        <w:spacing w:line="276" w:lineRule="auto"/>
        <w:contextualSpacing/>
        <w:rPr>
          <w:rFonts w:ascii="Arial" w:hAnsi="Arial" w:cs="Arial"/>
          <w:sz w:val="24"/>
          <w:szCs w:val="24"/>
        </w:rPr>
      </w:pPr>
    </w:p>
    <w:p w14:paraId="584F4430" w14:textId="7C03870A" w:rsidR="0030641B" w:rsidRPr="00AF0330" w:rsidRDefault="00080AD2" w:rsidP="00D0432B">
      <w:pPr>
        <w:spacing w:line="276" w:lineRule="auto"/>
        <w:contextualSpacing/>
        <w:rPr>
          <w:rFonts w:ascii="Arial" w:hAnsi="Arial" w:cs="Arial"/>
          <w:sz w:val="24"/>
          <w:szCs w:val="24"/>
        </w:rPr>
      </w:pPr>
      <w:r>
        <w:rPr>
          <w:rFonts w:ascii="Arial" w:hAnsi="Arial" w:cs="Arial"/>
          <w:sz w:val="24"/>
          <w:szCs w:val="24"/>
        </w:rPr>
        <w:t>Závěr</w:t>
      </w:r>
    </w:p>
    <w:p w14:paraId="041E2533" w14:textId="1FE1484F" w:rsidR="0030641B" w:rsidRPr="00AF0330" w:rsidRDefault="00080AD2" w:rsidP="00D0432B">
      <w:pPr>
        <w:spacing w:line="276" w:lineRule="auto"/>
        <w:contextualSpacing/>
        <w:rPr>
          <w:rFonts w:ascii="Arial" w:hAnsi="Arial" w:cs="Arial"/>
          <w:sz w:val="24"/>
          <w:szCs w:val="24"/>
        </w:rPr>
      </w:pPr>
      <w:r>
        <w:rPr>
          <w:rFonts w:ascii="Arial" w:hAnsi="Arial" w:cs="Arial"/>
          <w:sz w:val="24"/>
          <w:szCs w:val="24"/>
        </w:rPr>
        <w:t xml:space="preserve">U kmenů </w:t>
      </w:r>
      <w:r w:rsidRPr="00F3562C">
        <w:rPr>
          <w:rFonts w:ascii="Arial" w:hAnsi="Arial" w:cs="Arial"/>
          <w:i/>
          <w:iCs/>
          <w:sz w:val="24"/>
          <w:szCs w:val="24"/>
        </w:rPr>
        <w:t>P.</w:t>
      </w:r>
      <w:r w:rsidR="00E3541E">
        <w:rPr>
          <w:rFonts w:ascii="Arial" w:hAnsi="Arial" w:cs="Arial"/>
          <w:i/>
          <w:iCs/>
          <w:sz w:val="24"/>
          <w:szCs w:val="24"/>
        </w:rPr>
        <w:t xml:space="preserve"> </w:t>
      </w:r>
      <w:r w:rsidRPr="00F3562C">
        <w:rPr>
          <w:rFonts w:ascii="Arial" w:hAnsi="Arial" w:cs="Arial"/>
          <w:i/>
          <w:iCs/>
          <w:sz w:val="24"/>
          <w:szCs w:val="24"/>
        </w:rPr>
        <w:t>aeruginosa</w:t>
      </w:r>
      <w:r>
        <w:rPr>
          <w:rFonts w:ascii="Arial" w:hAnsi="Arial" w:cs="Arial"/>
          <w:sz w:val="24"/>
          <w:szCs w:val="24"/>
        </w:rPr>
        <w:t xml:space="preserve"> izolovaných z různých klinických materiálů ve VFN je velmi dobrá citlivost jak ceftolozan/tazobaktamu, tak ceftazidim/avibaktamu. Avšak při bližší analýze, je jasně patrné, že u kmenů s jakýmkoliv fenotypem </w:t>
      </w:r>
      <w:r w:rsidR="00F3562C">
        <w:rPr>
          <w:rFonts w:ascii="Arial" w:hAnsi="Arial" w:cs="Arial"/>
          <w:sz w:val="24"/>
          <w:szCs w:val="24"/>
        </w:rPr>
        <w:t>rezistence,</w:t>
      </w:r>
      <w:r>
        <w:rPr>
          <w:rFonts w:ascii="Arial" w:hAnsi="Arial" w:cs="Arial"/>
          <w:sz w:val="24"/>
          <w:szCs w:val="24"/>
        </w:rPr>
        <w:t xml:space="preserve"> a především u kmenů DTR</w:t>
      </w:r>
      <w:r w:rsidR="00E3541E">
        <w:rPr>
          <w:rFonts w:ascii="Arial" w:hAnsi="Arial" w:cs="Arial"/>
          <w:sz w:val="24"/>
          <w:szCs w:val="24"/>
        </w:rPr>
        <w:t>,</w:t>
      </w:r>
      <w:r>
        <w:rPr>
          <w:rFonts w:ascii="Arial" w:hAnsi="Arial" w:cs="Arial"/>
          <w:sz w:val="24"/>
          <w:szCs w:val="24"/>
        </w:rPr>
        <w:t xml:space="preserve"> je jednoznačně lepší in vitro citlivost k ceftolozan/tazobaktamu.</w:t>
      </w:r>
    </w:p>
    <w:p w14:paraId="0E65FE13" w14:textId="79D0CC88" w:rsidR="0030641B" w:rsidRPr="00AF0330" w:rsidRDefault="0030641B" w:rsidP="00D0432B">
      <w:pPr>
        <w:spacing w:line="276" w:lineRule="auto"/>
        <w:contextualSpacing/>
        <w:rPr>
          <w:rFonts w:ascii="Arial" w:hAnsi="Arial" w:cs="Arial"/>
          <w:sz w:val="24"/>
          <w:szCs w:val="24"/>
        </w:rPr>
      </w:pPr>
    </w:p>
    <w:p w14:paraId="69F7E8A1" w14:textId="1F9CAEB0" w:rsidR="0030641B" w:rsidRPr="00AF0330" w:rsidRDefault="00D0432B" w:rsidP="00D0432B">
      <w:pPr>
        <w:spacing w:line="276" w:lineRule="auto"/>
        <w:contextualSpacing/>
        <w:rPr>
          <w:rFonts w:ascii="Arial" w:hAnsi="Arial" w:cs="Arial"/>
          <w:sz w:val="24"/>
          <w:szCs w:val="24"/>
        </w:rPr>
      </w:pPr>
      <w:r>
        <w:rPr>
          <w:rFonts w:ascii="Arial" w:hAnsi="Arial" w:cs="Arial"/>
          <w:sz w:val="24"/>
          <w:szCs w:val="24"/>
        </w:rPr>
        <w:t>Literatura</w:t>
      </w:r>
    </w:p>
    <w:p w14:paraId="297871FC" w14:textId="77777777" w:rsidR="00CB40BD" w:rsidRDefault="0030641B" w:rsidP="00D0432B">
      <w:pPr>
        <w:autoSpaceDE w:val="0"/>
        <w:autoSpaceDN w:val="0"/>
        <w:adjustRightInd w:val="0"/>
        <w:spacing w:after="0" w:line="276" w:lineRule="auto"/>
        <w:contextualSpacing/>
        <w:rPr>
          <w:rFonts w:ascii="Arial" w:hAnsi="Arial" w:cs="Arial"/>
          <w:sz w:val="24"/>
          <w:szCs w:val="24"/>
        </w:rPr>
      </w:pPr>
      <w:r w:rsidRPr="00AF0330">
        <w:rPr>
          <w:rFonts w:ascii="Arial" w:hAnsi="Arial" w:cs="Arial"/>
          <w:sz w:val="24"/>
          <w:szCs w:val="24"/>
        </w:rPr>
        <w:t>1. Kadri SS, Adjemian J, Lai YL, Spaulding AB, Ricotta E, Prevots DR, Palmore TN, Rhee C, Klompas M, Dekker JP, Powers JH 3rd, Suffredini AF, Hooper DC, Fridkin S, Danner RL; National Institutes of Health Antimicrobial Resistance Outcomes Research Initiative (NIH–ARORI). Difficult-to-Treat Resistance in Gram-negative Bacteremia at 173 US Hospitals: Retrospective Cohort Analysis of Prevalence, Predictors, and Outcome of Resistance to All First-line Agents. Clin Infect Dis. 2018 Nov 28;67(12):1803-1814</w:t>
      </w:r>
    </w:p>
    <w:p w14:paraId="2092CC6A" w14:textId="487CF8A3" w:rsidR="00CB40BD" w:rsidRPr="00C93BA2" w:rsidRDefault="00CB40BD" w:rsidP="00D0432B">
      <w:pPr>
        <w:autoSpaceDE w:val="0"/>
        <w:autoSpaceDN w:val="0"/>
        <w:adjustRightInd w:val="0"/>
        <w:spacing w:after="0" w:line="276" w:lineRule="auto"/>
        <w:contextualSpacing/>
        <w:rPr>
          <w:rFonts w:ascii="Arial" w:hAnsi="Arial" w:cs="Arial"/>
          <w:sz w:val="24"/>
          <w:szCs w:val="24"/>
        </w:rPr>
      </w:pPr>
      <w:r>
        <w:rPr>
          <w:rFonts w:ascii="Arial" w:hAnsi="Arial" w:cs="Arial"/>
          <w:sz w:val="24"/>
          <w:szCs w:val="24"/>
        </w:rPr>
        <w:t>2</w:t>
      </w:r>
      <w:r w:rsidRPr="00C93BA2">
        <w:rPr>
          <w:rFonts w:ascii="Arial" w:hAnsi="Arial" w:cs="Arial"/>
          <w:sz w:val="24"/>
          <w:szCs w:val="24"/>
        </w:rPr>
        <w:t xml:space="preserve">. Hong M, Hsu DI, Bounthavong M. Ceftolozane/tazobactam: a novel antipseudomonal cephalosporin and β-lactamase- </w:t>
      </w:r>
      <w:r w:rsidRPr="00C93BA2">
        <w:rPr>
          <w:rFonts w:ascii="Tahoma" w:hAnsi="Tahoma" w:cs="Tahoma"/>
          <w:sz w:val="24"/>
          <w:szCs w:val="24"/>
        </w:rPr>
        <w:t> </w:t>
      </w:r>
      <w:r w:rsidRPr="00C93BA2">
        <w:rPr>
          <w:rFonts w:ascii="Arial" w:hAnsi="Arial" w:cs="Arial"/>
          <w:sz w:val="24"/>
          <w:szCs w:val="24"/>
        </w:rPr>
        <w:t xml:space="preserve">inhibitor combination. Infect Drug Resist. 2013;6:215-223 </w:t>
      </w:r>
    </w:p>
    <w:p w14:paraId="3AB8D427" w14:textId="37EF9003" w:rsidR="00CB40BD" w:rsidRPr="00C93BA2" w:rsidRDefault="00CB40BD" w:rsidP="00D0432B">
      <w:pPr>
        <w:autoSpaceDE w:val="0"/>
        <w:autoSpaceDN w:val="0"/>
        <w:adjustRightInd w:val="0"/>
        <w:spacing w:after="0" w:line="276" w:lineRule="auto"/>
        <w:contextualSpacing/>
        <w:rPr>
          <w:rFonts w:ascii="Arial" w:hAnsi="Arial" w:cs="Arial"/>
          <w:sz w:val="24"/>
          <w:szCs w:val="24"/>
        </w:rPr>
      </w:pPr>
      <w:r>
        <w:rPr>
          <w:rFonts w:ascii="Arial" w:hAnsi="Arial" w:cs="Arial"/>
          <w:sz w:val="24"/>
          <w:szCs w:val="24"/>
        </w:rPr>
        <w:t>3</w:t>
      </w:r>
      <w:r w:rsidRPr="00C93BA2">
        <w:rPr>
          <w:rFonts w:ascii="Arial" w:hAnsi="Arial" w:cs="Arial"/>
          <w:sz w:val="24"/>
          <w:szCs w:val="24"/>
        </w:rPr>
        <w:t>. Lagace-Wiens P, Walkty A, Karlowsky JA. Ceftazidime-avibactam: an evidencebased review of its pharmacology and potential use in the treatment of gram-negative bacterial infections. Core Evid 2014; 9:13–25</w:t>
      </w:r>
    </w:p>
    <w:p w14:paraId="1D64ED88" w14:textId="5FAFA73F" w:rsidR="0030641B" w:rsidRPr="00AF0330" w:rsidRDefault="0030641B" w:rsidP="00D0432B">
      <w:pPr>
        <w:spacing w:line="276" w:lineRule="auto"/>
        <w:contextualSpacing/>
        <w:rPr>
          <w:rFonts w:ascii="Arial" w:hAnsi="Arial" w:cs="Arial"/>
          <w:sz w:val="24"/>
          <w:szCs w:val="24"/>
        </w:rPr>
      </w:pPr>
    </w:p>
    <w:p w14:paraId="7B2FCB3E" w14:textId="22531583" w:rsidR="00337EE6" w:rsidRPr="00AF0330" w:rsidRDefault="00CB40BD" w:rsidP="00D0432B">
      <w:pPr>
        <w:autoSpaceDE w:val="0"/>
        <w:autoSpaceDN w:val="0"/>
        <w:adjustRightInd w:val="0"/>
        <w:spacing w:after="0" w:line="276" w:lineRule="auto"/>
        <w:contextualSpacing/>
        <w:rPr>
          <w:rFonts w:ascii="Arial" w:hAnsi="Arial" w:cs="Arial"/>
          <w:sz w:val="24"/>
          <w:szCs w:val="24"/>
        </w:rPr>
      </w:pPr>
      <w:r>
        <w:rPr>
          <w:rFonts w:ascii="Arial" w:hAnsi="Arial" w:cs="Arial"/>
          <w:sz w:val="24"/>
          <w:szCs w:val="24"/>
        </w:rPr>
        <w:t>4</w:t>
      </w:r>
      <w:r w:rsidR="00337EE6" w:rsidRPr="00AF0330">
        <w:rPr>
          <w:rFonts w:ascii="Arial" w:hAnsi="Arial" w:cs="Arial"/>
          <w:sz w:val="24"/>
          <w:szCs w:val="24"/>
        </w:rPr>
        <w:t>. NCCLS. 2002. Analysis and presentation of cumulative susceptibility testdata; approved guideline. NCCLS document M39-A. NCCLS, Wayne, Pa.</w:t>
      </w:r>
    </w:p>
    <w:p w14:paraId="7EF4B20C" w14:textId="3A2B1930" w:rsidR="00337EE6" w:rsidRPr="00AF0330" w:rsidRDefault="00CB40BD" w:rsidP="00D0432B">
      <w:pPr>
        <w:autoSpaceDE w:val="0"/>
        <w:autoSpaceDN w:val="0"/>
        <w:adjustRightInd w:val="0"/>
        <w:spacing w:after="0" w:line="276" w:lineRule="auto"/>
        <w:contextualSpacing/>
        <w:rPr>
          <w:rFonts w:ascii="Arial" w:hAnsi="Arial" w:cs="Arial"/>
          <w:sz w:val="24"/>
          <w:szCs w:val="24"/>
        </w:rPr>
      </w:pPr>
      <w:r>
        <w:rPr>
          <w:rFonts w:ascii="Arial" w:hAnsi="Arial" w:cs="Arial"/>
          <w:sz w:val="24"/>
          <w:szCs w:val="24"/>
        </w:rPr>
        <w:t>5</w:t>
      </w:r>
      <w:r w:rsidR="00337EE6" w:rsidRPr="00AF0330">
        <w:rPr>
          <w:rFonts w:ascii="Arial" w:hAnsi="Arial" w:cs="Arial"/>
          <w:sz w:val="24"/>
          <w:szCs w:val="24"/>
        </w:rPr>
        <w:t>. Moehring RW, Hazen KC, Hawkins MR, Drew RH, Sexton DJ, Anderson DJ. Challenges in Preparation of Cumulative Antibiogram Reports for Community Hospitals. J Clin Microbiol. 2015;53(9):2977-2982. doi:10.1128/JCM.01077-15</w:t>
      </w:r>
    </w:p>
    <w:p w14:paraId="069A5A14" w14:textId="209FB8D9" w:rsidR="00337EE6" w:rsidRDefault="00CB40BD" w:rsidP="00D0432B">
      <w:pPr>
        <w:autoSpaceDE w:val="0"/>
        <w:autoSpaceDN w:val="0"/>
        <w:adjustRightInd w:val="0"/>
        <w:spacing w:after="0" w:line="276" w:lineRule="auto"/>
        <w:contextualSpacing/>
        <w:rPr>
          <w:rFonts w:ascii="Arial" w:hAnsi="Arial" w:cs="Arial"/>
          <w:sz w:val="24"/>
          <w:szCs w:val="24"/>
        </w:rPr>
      </w:pPr>
      <w:r>
        <w:rPr>
          <w:rFonts w:ascii="Arial" w:hAnsi="Arial" w:cs="Arial"/>
          <w:sz w:val="24"/>
          <w:szCs w:val="24"/>
        </w:rPr>
        <w:t>5</w:t>
      </w:r>
      <w:r w:rsidR="00337EE6" w:rsidRPr="00AF0330">
        <w:rPr>
          <w:rFonts w:ascii="Arial" w:hAnsi="Arial" w:cs="Arial"/>
          <w:sz w:val="24"/>
          <w:szCs w:val="24"/>
        </w:rPr>
        <w:t>. Hindler JF, Stelling J. Analysis and presentation of cumulative antibiograms: a new consensus guideline from the Clinical and Laboratory Standards Institute. Clin Infect Dis. 2007;44(6):867-873</w:t>
      </w:r>
    </w:p>
    <w:p w14:paraId="2A830E83" w14:textId="00D07B7B" w:rsidR="00E3541E" w:rsidRDefault="00E3541E" w:rsidP="00D0432B">
      <w:pPr>
        <w:autoSpaceDE w:val="0"/>
        <w:autoSpaceDN w:val="0"/>
        <w:adjustRightInd w:val="0"/>
        <w:spacing w:after="0" w:line="276" w:lineRule="auto"/>
        <w:contextualSpacing/>
        <w:rPr>
          <w:rFonts w:ascii="Arial" w:hAnsi="Arial" w:cs="Arial"/>
          <w:sz w:val="24"/>
          <w:szCs w:val="24"/>
        </w:rPr>
      </w:pPr>
    </w:p>
    <w:p w14:paraId="591DC086" w14:textId="656FC047" w:rsidR="00E3541E" w:rsidRDefault="00E3541E" w:rsidP="00D0432B">
      <w:pPr>
        <w:autoSpaceDE w:val="0"/>
        <w:autoSpaceDN w:val="0"/>
        <w:adjustRightInd w:val="0"/>
        <w:spacing w:after="0" w:line="276" w:lineRule="auto"/>
        <w:contextualSpacing/>
        <w:rPr>
          <w:rFonts w:ascii="Arial" w:hAnsi="Arial" w:cs="Arial"/>
          <w:sz w:val="24"/>
          <w:szCs w:val="24"/>
        </w:rPr>
      </w:pPr>
    </w:p>
    <w:p w14:paraId="2C28FA35" w14:textId="77777777" w:rsidR="00C93BA2" w:rsidRPr="00AF0330" w:rsidRDefault="00C93BA2" w:rsidP="00D0432B">
      <w:pPr>
        <w:spacing w:line="276" w:lineRule="auto"/>
        <w:contextualSpacing/>
        <w:rPr>
          <w:rFonts w:ascii="Arial" w:hAnsi="Arial" w:cs="Arial"/>
          <w:sz w:val="24"/>
          <w:szCs w:val="24"/>
        </w:rPr>
      </w:pPr>
    </w:p>
    <w:p w14:paraId="1E57D1C3" w14:textId="77777777" w:rsidR="00E3541E" w:rsidRDefault="00E3541E" w:rsidP="00E3541E">
      <w:pPr>
        <w:autoSpaceDE w:val="0"/>
        <w:autoSpaceDN w:val="0"/>
        <w:adjustRightInd w:val="0"/>
        <w:spacing w:after="0" w:line="276" w:lineRule="auto"/>
        <w:contextualSpacing/>
        <w:rPr>
          <w:rFonts w:ascii="Arial" w:hAnsi="Arial" w:cs="Arial"/>
          <w:sz w:val="24"/>
          <w:szCs w:val="24"/>
        </w:rPr>
      </w:pPr>
      <w:r>
        <w:rPr>
          <w:rFonts w:ascii="Arial" w:hAnsi="Arial" w:cs="Arial"/>
          <w:sz w:val="24"/>
          <w:szCs w:val="24"/>
        </w:rPr>
        <w:t>ZIP Zerbaxa</w:t>
      </w:r>
      <w:r w:rsidRPr="002E79D7">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w:t>
      </w:r>
      <w:r w:rsidRPr="0093771F">
        <w:rPr>
          <w:rFonts w:ascii="Arial" w:hAnsi="Arial" w:cs="Arial"/>
          <w:sz w:val="24"/>
          <w:szCs w:val="24"/>
        </w:rPr>
        <w:t>Zerbaxa</w:t>
      </w:r>
      <w:r w:rsidRPr="00B0447C">
        <w:rPr>
          <w:rFonts w:ascii="Arial" w:hAnsi="Arial" w:cs="Arial"/>
          <w:sz w:val="24"/>
          <w:szCs w:val="24"/>
          <w:vertAlign w:val="superscript"/>
        </w:rPr>
        <w:t>®</w:t>
      </w:r>
      <w:r w:rsidRPr="0093771F">
        <w:rPr>
          <w:rFonts w:ascii="Arial" w:hAnsi="Arial" w:cs="Arial"/>
          <w:sz w:val="24"/>
          <w:szCs w:val="24"/>
        </w:rPr>
        <w:t xml:space="preserve"> 1 g/0,5 g prášek pro koncentrát pro infuzní roztok</w:t>
      </w:r>
      <w:r>
        <w:rPr>
          <w:rFonts w:ascii="Arial" w:hAnsi="Arial" w:cs="Arial"/>
          <w:sz w:val="24"/>
          <w:szCs w:val="24"/>
        </w:rPr>
        <w:t xml:space="preserve">) </w:t>
      </w:r>
      <w:hyperlink r:id="rId12" w:history="1">
        <w:r w:rsidRPr="002E79D7">
          <w:rPr>
            <w:rStyle w:val="Hyperlink"/>
            <w:rFonts w:ascii="Arial" w:hAnsi="Arial" w:cs="Arial"/>
            <w:sz w:val="24"/>
            <w:szCs w:val="24"/>
          </w:rPr>
          <w:t>zde</w:t>
        </w:r>
      </w:hyperlink>
      <w:r>
        <w:rPr>
          <w:rFonts w:ascii="Arial" w:hAnsi="Arial" w:cs="Arial"/>
          <w:sz w:val="24"/>
          <w:szCs w:val="24"/>
        </w:rPr>
        <w:t>.</w:t>
      </w:r>
    </w:p>
    <w:p w14:paraId="2A16E502" w14:textId="77777777" w:rsidR="00E3541E" w:rsidRDefault="00E3541E" w:rsidP="00E3541E">
      <w:pPr>
        <w:autoSpaceDE w:val="0"/>
        <w:autoSpaceDN w:val="0"/>
        <w:adjustRightInd w:val="0"/>
        <w:spacing w:after="0" w:line="276" w:lineRule="auto"/>
        <w:contextualSpacing/>
        <w:rPr>
          <w:rFonts w:ascii="Arial" w:hAnsi="Arial" w:cs="Arial"/>
          <w:sz w:val="24"/>
          <w:szCs w:val="24"/>
        </w:rPr>
      </w:pPr>
      <w:r>
        <w:rPr>
          <w:rFonts w:ascii="Arial" w:hAnsi="Arial" w:cs="Arial"/>
          <w:sz w:val="24"/>
          <w:szCs w:val="24"/>
        </w:rPr>
        <w:t>ZIP Recarbrio</w:t>
      </w:r>
      <w:r w:rsidRPr="002E79D7">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w:t>
      </w:r>
      <w:r w:rsidRPr="0093771F">
        <w:rPr>
          <w:rFonts w:ascii="Arial" w:hAnsi="Arial" w:cs="Arial"/>
          <w:sz w:val="24"/>
          <w:szCs w:val="24"/>
        </w:rPr>
        <w:t>Recarbrio</w:t>
      </w:r>
      <w:r w:rsidRPr="00B0447C">
        <w:rPr>
          <w:rFonts w:ascii="Arial" w:hAnsi="Arial" w:cs="Arial"/>
          <w:sz w:val="24"/>
          <w:szCs w:val="24"/>
          <w:vertAlign w:val="superscript"/>
        </w:rPr>
        <w:t>®</w:t>
      </w:r>
      <w:r w:rsidRPr="0093771F">
        <w:rPr>
          <w:rFonts w:ascii="Arial" w:hAnsi="Arial" w:cs="Arial"/>
          <w:sz w:val="24"/>
          <w:szCs w:val="24"/>
        </w:rPr>
        <w:t xml:space="preserve"> 500 mg/500 mg/250 mg prášek pro infuzní roztok</w:t>
      </w:r>
      <w:r>
        <w:rPr>
          <w:rFonts w:ascii="Arial" w:hAnsi="Arial" w:cs="Arial"/>
          <w:sz w:val="24"/>
          <w:szCs w:val="24"/>
        </w:rPr>
        <w:t>)</w:t>
      </w:r>
      <w:r>
        <w:rPr>
          <w:rFonts w:ascii="Arial" w:hAnsi="Arial" w:cs="Arial"/>
          <w:sz w:val="24"/>
          <w:szCs w:val="24"/>
          <w:vertAlign w:val="superscript"/>
        </w:rPr>
        <w:t xml:space="preserve"> </w:t>
      </w:r>
      <w:hyperlink r:id="rId13" w:history="1">
        <w:r w:rsidRPr="00DB6716">
          <w:rPr>
            <w:rStyle w:val="Hyperlink"/>
            <w:rFonts w:ascii="Arial" w:hAnsi="Arial" w:cs="Arial"/>
            <w:sz w:val="24"/>
            <w:szCs w:val="24"/>
          </w:rPr>
          <w:t>zde</w:t>
        </w:r>
      </w:hyperlink>
      <w:r>
        <w:rPr>
          <w:rFonts w:ascii="Arial" w:hAnsi="Arial" w:cs="Arial"/>
          <w:sz w:val="24"/>
          <w:szCs w:val="24"/>
        </w:rPr>
        <w:t>.</w:t>
      </w:r>
    </w:p>
    <w:p w14:paraId="4B5C35EC" w14:textId="77777777" w:rsidR="00E3541E" w:rsidRDefault="00E3541E" w:rsidP="00E3541E">
      <w:pPr>
        <w:autoSpaceDE w:val="0"/>
        <w:autoSpaceDN w:val="0"/>
        <w:adjustRightInd w:val="0"/>
        <w:spacing w:after="0" w:line="276" w:lineRule="auto"/>
        <w:contextualSpacing/>
        <w:rPr>
          <w:rFonts w:ascii="Arial" w:hAnsi="Arial" w:cs="Arial"/>
          <w:sz w:val="24"/>
          <w:szCs w:val="24"/>
        </w:rPr>
      </w:pPr>
    </w:p>
    <w:p w14:paraId="2B8D816B" w14:textId="77777777" w:rsidR="00E3541E" w:rsidRPr="001730AC" w:rsidRDefault="00E3541E" w:rsidP="00E3541E">
      <w:pPr>
        <w:autoSpaceDE w:val="0"/>
        <w:autoSpaceDN w:val="0"/>
        <w:adjustRightInd w:val="0"/>
        <w:spacing w:after="0" w:line="276" w:lineRule="auto"/>
        <w:contextualSpacing/>
        <w:rPr>
          <w:rFonts w:ascii="Arial" w:hAnsi="Arial" w:cs="Arial"/>
          <w:color w:val="A6A6A6" w:themeColor="background1" w:themeShade="A6"/>
          <w:sz w:val="24"/>
          <w:szCs w:val="24"/>
        </w:rPr>
      </w:pPr>
      <w:r w:rsidRPr="00E3541E">
        <w:rPr>
          <w:rFonts w:ascii="Arial" w:hAnsi="Arial" w:cs="Arial"/>
          <w:color w:val="A6A6A6" w:themeColor="background1" w:themeShade="A6"/>
          <w:sz w:val="24"/>
          <w:szCs w:val="24"/>
        </w:rPr>
        <w:t xml:space="preserve">Článek </w:t>
      </w:r>
      <w:r w:rsidRPr="001730AC">
        <w:rPr>
          <w:rFonts w:ascii="Arial" w:hAnsi="Arial" w:cs="Arial"/>
          <w:color w:val="A6A6A6" w:themeColor="background1" w:themeShade="A6"/>
          <w:sz w:val="24"/>
          <w:szCs w:val="24"/>
        </w:rPr>
        <w:t>vznikl za podpory firmy MSD.</w:t>
      </w:r>
    </w:p>
    <w:p w14:paraId="2FFCB3DF" w14:textId="44E0D12D" w:rsidR="0030641B" w:rsidRPr="00E3541E" w:rsidRDefault="00E3541E" w:rsidP="00D0432B">
      <w:pPr>
        <w:spacing w:line="276" w:lineRule="auto"/>
        <w:contextualSpacing/>
        <w:rPr>
          <w:rFonts w:ascii="Arial" w:hAnsi="Arial" w:cs="Arial"/>
          <w:color w:val="A6A6A6" w:themeColor="background1" w:themeShade="A6"/>
          <w:sz w:val="24"/>
          <w:szCs w:val="24"/>
        </w:rPr>
      </w:pPr>
      <w:r w:rsidRPr="00E3541E">
        <w:rPr>
          <w:rFonts w:ascii="Arial" w:hAnsi="Arial" w:cs="Arial"/>
          <w:color w:val="A6A6A6" w:themeColor="background1" w:themeShade="A6"/>
          <w:sz w:val="24"/>
          <w:szCs w:val="24"/>
        </w:rPr>
        <w:t>CZ-ZER-00033</w:t>
      </w:r>
    </w:p>
    <w:sectPr w:rsidR="0030641B" w:rsidRPr="00E3541E" w:rsidSect="00E46D6F">
      <w:headerReference w:type="default" r:id="rId1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1B83" w14:textId="77777777" w:rsidR="00380708" w:rsidRDefault="00380708" w:rsidP="000E5177">
      <w:pPr>
        <w:spacing w:after="0" w:line="240" w:lineRule="auto"/>
      </w:pPr>
      <w:r>
        <w:separator/>
      </w:r>
    </w:p>
  </w:endnote>
  <w:endnote w:type="continuationSeparator" w:id="0">
    <w:p w14:paraId="4DCDEC62" w14:textId="77777777" w:rsidR="00380708" w:rsidRDefault="00380708" w:rsidP="000E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0B69" w14:textId="77777777" w:rsidR="00380708" w:rsidRDefault="00380708" w:rsidP="000E5177">
      <w:pPr>
        <w:spacing w:after="0" w:line="240" w:lineRule="auto"/>
      </w:pPr>
      <w:r>
        <w:separator/>
      </w:r>
    </w:p>
  </w:footnote>
  <w:footnote w:type="continuationSeparator" w:id="0">
    <w:p w14:paraId="1937ADCD" w14:textId="77777777" w:rsidR="00380708" w:rsidRDefault="00380708" w:rsidP="000E5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E2FC" w14:textId="590019D9" w:rsidR="00E3541E" w:rsidRDefault="00E3541E">
    <w:pPr>
      <w:pStyle w:val="Header"/>
    </w:pPr>
    <w:r>
      <w:rPr>
        <w:noProof/>
      </w:rPr>
      <mc:AlternateContent>
        <mc:Choice Requires="wps">
          <w:drawing>
            <wp:anchor distT="0" distB="0" distL="114300" distR="114300" simplePos="0" relativeHeight="251659264" behindDoc="0" locked="0" layoutInCell="0" allowOverlap="1" wp14:anchorId="73EC8ABF" wp14:editId="05BF8CD7">
              <wp:simplePos x="0" y="0"/>
              <wp:positionH relativeFrom="page">
                <wp:posOffset>0</wp:posOffset>
              </wp:positionH>
              <wp:positionV relativeFrom="page">
                <wp:posOffset>190500</wp:posOffset>
              </wp:positionV>
              <wp:extent cx="7560310" cy="273050"/>
              <wp:effectExtent l="0" t="0" r="0" b="12700"/>
              <wp:wrapNone/>
              <wp:docPr id="6" name="MSIPCM56e045618fba79f73932c94d" descr="{&quot;HashCode&quot;:14684423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8E38E" w14:textId="7DE4FDF3" w:rsidR="00E3541E" w:rsidRPr="00E3541E" w:rsidRDefault="00E3541E" w:rsidP="00E3541E">
                          <w:pPr>
                            <w:spacing w:after="0"/>
                            <w:rPr>
                              <w:rFonts w:ascii="Calibri" w:hAnsi="Calibri" w:cs="Calibri"/>
                              <w:color w:val="00B294"/>
                              <w:sz w:val="24"/>
                            </w:rPr>
                          </w:pPr>
                          <w:r w:rsidRPr="00E3541E">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3EC8ABF" id="_x0000_t202" coordsize="21600,21600" o:spt="202" path="m,l,21600r21600,l21600,xe">
              <v:stroke joinstyle="miter"/>
              <v:path gradientshapeok="t" o:connecttype="rect"/>
            </v:shapetype>
            <v:shape id="MSIPCM56e045618fba79f73932c94d" o:spid="_x0000_s1026" type="#_x0000_t202" alt="{&quot;HashCode&quot;:14684423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878E38E" w14:textId="7DE4FDF3" w:rsidR="00E3541E" w:rsidRPr="00E3541E" w:rsidRDefault="00E3541E" w:rsidP="00E3541E">
                    <w:pPr>
                      <w:spacing w:after="0"/>
                      <w:rPr>
                        <w:rFonts w:ascii="Calibri" w:hAnsi="Calibri" w:cs="Calibri"/>
                        <w:color w:val="00B294"/>
                        <w:sz w:val="24"/>
                      </w:rPr>
                    </w:pPr>
                    <w:r w:rsidRPr="00E3541E">
                      <w:rPr>
                        <w:rFonts w:ascii="Calibri" w:hAnsi="Calibri" w:cs="Calibri"/>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4C8D"/>
    <w:multiLevelType w:val="hybridMultilevel"/>
    <w:tmpl w:val="70D62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976F6A"/>
    <w:multiLevelType w:val="hybridMultilevel"/>
    <w:tmpl w:val="FA5E8CDC"/>
    <w:lvl w:ilvl="0" w:tplc="57AE0DE8">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33AE8"/>
    <w:multiLevelType w:val="hybridMultilevel"/>
    <w:tmpl w:val="794E0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77"/>
    <w:rsid w:val="00080AD2"/>
    <w:rsid w:val="000C2C96"/>
    <w:rsid w:val="000E385C"/>
    <w:rsid w:val="000E4E83"/>
    <w:rsid w:val="000E5177"/>
    <w:rsid w:val="000F2781"/>
    <w:rsid w:val="00176B85"/>
    <w:rsid w:val="00180052"/>
    <w:rsid w:val="002E2FF3"/>
    <w:rsid w:val="0030641B"/>
    <w:rsid w:val="00337EE6"/>
    <w:rsid w:val="00380708"/>
    <w:rsid w:val="00524B18"/>
    <w:rsid w:val="005265B6"/>
    <w:rsid w:val="005B69CE"/>
    <w:rsid w:val="006B63A1"/>
    <w:rsid w:val="006E197E"/>
    <w:rsid w:val="0074743A"/>
    <w:rsid w:val="007A6746"/>
    <w:rsid w:val="007A789D"/>
    <w:rsid w:val="008F2971"/>
    <w:rsid w:val="009474A1"/>
    <w:rsid w:val="00961402"/>
    <w:rsid w:val="009957F0"/>
    <w:rsid w:val="00A1720D"/>
    <w:rsid w:val="00A62C3F"/>
    <w:rsid w:val="00AB41AA"/>
    <w:rsid w:val="00AF0330"/>
    <w:rsid w:val="00C93BA2"/>
    <w:rsid w:val="00CB40BD"/>
    <w:rsid w:val="00D0432B"/>
    <w:rsid w:val="00D13799"/>
    <w:rsid w:val="00D1544C"/>
    <w:rsid w:val="00DD209C"/>
    <w:rsid w:val="00DD368B"/>
    <w:rsid w:val="00DE5EDE"/>
    <w:rsid w:val="00DE6CE6"/>
    <w:rsid w:val="00E3541E"/>
    <w:rsid w:val="00E46D6F"/>
    <w:rsid w:val="00E64CAE"/>
    <w:rsid w:val="00EB4AFC"/>
    <w:rsid w:val="00F35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17DA"/>
  <w15:chartTrackingRefBased/>
  <w15:docId w15:val="{B450ADCE-C4A7-4F23-B7D3-D787E69C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4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337EE6"/>
    <w:pPr>
      <w:ind w:left="720"/>
      <w:contextualSpacing/>
    </w:pPr>
  </w:style>
  <w:style w:type="character" w:styleId="HTMLVariable">
    <w:name w:val="HTML Variable"/>
    <w:basedOn w:val="DefaultParagraphFont"/>
    <w:uiPriority w:val="99"/>
    <w:semiHidden/>
    <w:unhideWhenUsed/>
    <w:rsid w:val="00E3541E"/>
    <w:rPr>
      <w:i/>
      <w:iCs/>
    </w:rPr>
  </w:style>
  <w:style w:type="character" w:styleId="Hyperlink">
    <w:name w:val="Hyperlink"/>
    <w:basedOn w:val="DefaultParagraphFont"/>
    <w:uiPriority w:val="99"/>
    <w:unhideWhenUsed/>
    <w:rsid w:val="00E3541E"/>
    <w:rPr>
      <w:color w:val="0563C1" w:themeColor="hyperlink"/>
      <w:u w:val="single"/>
    </w:rPr>
  </w:style>
  <w:style w:type="paragraph" w:styleId="Header">
    <w:name w:val="header"/>
    <w:basedOn w:val="Normal"/>
    <w:link w:val="HeaderChar"/>
    <w:uiPriority w:val="99"/>
    <w:unhideWhenUsed/>
    <w:rsid w:val="00E3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1E"/>
  </w:style>
  <w:style w:type="paragraph" w:styleId="Footer">
    <w:name w:val="footer"/>
    <w:basedOn w:val="Normal"/>
    <w:link w:val="FooterChar"/>
    <w:uiPriority w:val="99"/>
    <w:unhideWhenUsed/>
    <w:rsid w:val="00E3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4179">
      <w:bodyDiv w:val="1"/>
      <w:marLeft w:val="0"/>
      <w:marRight w:val="0"/>
      <w:marTop w:val="0"/>
      <w:marBottom w:val="0"/>
      <w:divBdr>
        <w:top w:val="none" w:sz="0" w:space="0" w:color="auto"/>
        <w:left w:val="none" w:sz="0" w:space="0" w:color="auto"/>
        <w:bottom w:val="none" w:sz="0" w:space="0" w:color="auto"/>
        <w:right w:val="none" w:sz="0" w:space="0" w:color="auto"/>
      </w:divBdr>
    </w:div>
    <w:div w:id="1052584906">
      <w:bodyDiv w:val="1"/>
      <w:marLeft w:val="0"/>
      <w:marRight w:val="0"/>
      <w:marTop w:val="0"/>
      <w:marBottom w:val="0"/>
      <w:divBdr>
        <w:top w:val="none" w:sz="0" w:space="0" w:color="auto"/>
        <w:left w:val="none" w:sz="0" w:space="0" w:color="auto"/>
        <w:bottom w:val="none" w:sz="0" w:space="0" w:color="auto"/>
        <w:right w:val="none" w:sz="0" w:space="0" w:color="auto"/>
      </w:divBdr>
    </w:div>
    <w:div w:id="11731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msdprolekare.cz/produkty/recabrio/zip-recarbrio/"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msdprolekare.cz/produkty/zerbaxa/zip-zerbax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5100\Desktop\Kopie%20-%20VFN%2019-21%20PS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5100\Desktop\Kopie%20-%20VFN%2019-21%20PS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5100\Desktop\DTR%20zpracov&#225;n&#237;.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5100\Desktop\DTR%20zpracov&#225;n&#237;.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i="1" dirty="0"/>
              <a:t>P</a:t>
            </a:r>
            <a:r>
              <a:rPr lang="cs-CZ" i="1" dirty="0"/>
              <a:t>s</a:t>
            </a:r>
            <a:r>
              <a:rPr lang="en-US" i="1" dirty="0" err="1"/>
              <a:t>eudomonas</a:t>
            </a:r>
            <a:r>
              <a:rPr lang="en-US" i="1" dirty="0"/>
              <a:t> aeruginosa – </a:t>
            </a:r>
            <a:r>
              <a:rPr lang="cs-CZ" i="1" dirty="0"/>
              <a:t>hemokultury</a:t>
            </a:r>
            <a:endParaRPr lang="en-US" i="1"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List1!$R$10</c:f>
              <c:strCache>
                <c:ptCount val="1"/>
                <c:pt idx="0">
                  <c:v>2019</c:v>
                </c:pt>
              </c:strCache>
            </c:strRef>
          </c:tx>
          <c:spPr>
            <a:solidFill>
              <a:srgbClr val="0000CC"/>
            </a:solidFill>
            <a:ln>
              <a:noFill/>
            </a:ln>
            <a:effectLst/>
          </c:spPr>
          <c:invertIfNegative val="0"/>
          <c:cat>
            <c:strRef>
              <c:f>List1!$S$9:$Z$9</c:f>
              <c:strCache>
                <c:ptCount val="8"/>
                <c:pt idx="0">
                  <c:v>AMI</c:v>
                </c:pt>
                <c:pt idx="1">
                  <c:v>CIP</c:v>
                </c:pt>
                <c:pt idx="2">
                  <c:v>COL</c:v>
                </c:pt>
                <c:pt idx="3">
                  <c:v>CTL</c:v>
                </c:pt>
                <c:pt idx="4">
                  <c:v>CTZ</c:v>
                </c:pt>
                <c:pt idx="5">
                  <c:v>GEN</c:v>
                </c:pt>
                <c:pt idx="6">
                  <c:v>MER</c:v>
                </c:pt>
                <c:pt idx="7">
                  <c:v>PIT</c:v>
                </c:pt>
              </c:strCache>
            </c:strRef>
          </c:cat>
          <c:val>
            <c:numRef>
              <c:f>List1!$S$10:$Z$10</c:f>
              <c:numCache>
                <c:formatCode>General</c:formatCode>
                <c:ptCount val="8"/>
                <c:pt idx="0">
                  <c:v>0.2857142857142857</c:v>
                </c:pt>
                <c:pt idx="1">
                  <c:v>0.4642857142857143</c:v>
                </c:pt>
                <c:pt idx="2">
                  <c:v>0</c:v>
                </c:pt>
                <c:pt idx="3">
                  <c:v>0.21428571428571427</c:v>
                </c:pt>
                <c:pt idx="4">
                  <c:v>0.2857142857142857</c:v>
                </c:pt>
                <c:pt idx="5">
                  <c:v>0.25</c:v>
                </c:pt>
                <c:pt idx="6">
                  <c:v>0.39285714285714285</c:v>
                </c:pt>
                <c:pt idx="7">
                  <c:v>0.25</c:v>
                </c:pt>
              </c:numCache>
            </c:numRef>
          </c:val>
          <c:extLst>
            <c:ext xmlns:c16="http://schemas.microsoft.com/office/drawing/2014/chart" uri="{C3380CC4-5D6E-409C-BE32-E72D297353CC}">
              <c16:uniqueId val="{00000000-4D55-4679-9156-34A4F8A738DD}"/>
            </c:ext>
          </c:extLst>
        </c:ser>
        <c:ser>
          <c:idx val="1"/>
          <c:order val="1"/>
          <c:tx>
            <c:strRef>
              <c:f>List1!$R$11</c:f>
              <c:strCache>
                <c:ptCount val="1"/>
                <c:pt idx="0">
                  <c:v>2020</c:v>
                </c:pt>
              </c:strCache>
            </c:strRef>
          </c:tx>
          <c:spPr>
            <a:solidFill>
              <a:srgbClr val="FFFF00"/>
            </a:solidFill>
            <a:ln>
              <a:noFill/>
            </a:ln>
            <a:effectLst/>
          </c:spPr>
          <c:invertIfNegative val="0"/>
          <c:cat>
            <c:strRef>
              <c:f>List1!$S$9:$Z$9</c:f>
              <c:strCache>
                <c:ptCount val="8"/>
                <c:pt idx="0">
                  <c:v>AMI</c:v>
                </c:pt>
                <c:pt idx="1">
                  <c:v>CIP</c:v>
                </c:pt>
                <c:pt idx="2">
                  <c:v>COL</c:v>
                </c:pt>
                <c:pt idx="3">
                  <c:v>CTL</c:v>
                </c:pt>
                <c:pt idx="4">
                  <c:v>CTZ</c:v>
                </c:pt>
                <c:pt idx="5">
                  <c:v>GEN</c:v>
                </c:pt>
                <c:pt idx="6">
                  <c:v>MER</c:v>
                </c:pt>
                <c:pt idx="7">
                  <c:v>PIT</c:v>
                </c:pt>
              </c:strCache>
            </c:strRef>
          </c:cat>
          <c:val>
            <c:numRef>
              <c:f>List1!$S$11:$Z$11</c:f>
              <c:numCache>
                <c:formatCode>General</c:formatCode>
                <c:ptCount val="8"/>
                <c:pt idx="0">
                  <c:v>0.14814814814814814</c:v>
                </c:pt>
                <c:pt idx="1">
                  <c:v>0.44444444444444442</c:v>
                </c:pt>
                <c:pt idx="2">
                  <c:v>0</c:v>
                </c:pt>
                <c:pt idx="3">
                  <c:v>7.407407407407407E-2</c:v>
                </c:pt>
                <c:pt idx="4">
                  <c:v>0.14814814814814814</c:v>
                </c:pt>
                <c:pt idx="5">
                  <c:v>0.22222222222222221</c:v>
                </c:pt>
                <c:pt idx="6">
                  <c:v>0.25925925925925924</c:v>
                </c:pt>
                <c:pt idx="7">
                  <c:v>0.14814814814814814</c:v>
                </c:pt>
              </c:numCache>
            </c:numRef>
          </c:val>
          <c:extLst>
            <c:ext xmlns:c16="http://schemas.microsoft.com/office/drawing/2014/chart" uri="{C3380CC4-5D6E-409C-BE32-E72D297353CC}">
              <c16:uniqueId val="{00000001-4D55-4679-9156-34A4F8A738DD}"/>
            </c:ext>
          </c:extLst>
        </c:ser>
        <c:ser>
          <c:idx val="2"/>
          <c:order val="2"/>
          <c:tx>
            <c:strRef>
              <c:f>List1!$R$12</c:f>
              <c:strCache>
                <c:ptCount val="1"/>
                <c:pt idx="0">
                  <c:v>2021</c:v>
                </c:pt>
              </c:strCache>
            </c:strRef>
          </c:tx>
          <c:spPr>
            <a:solidFill>
              <a:srgbClr val="FF0000"/>
            </a:solidFill>
            <a:ln>
              <a:noFill/>
            </a:ln>
            <a:effectLst/>
          </c:spPr>
          <c:invertIfNegative val="0"/>
          <c:cat>
            <c:strRef>
              <c:f>List1!$S$9:$Z$9</c:f>
              <c:strCache>
                <c:ptCount val="8"/>
                <c:pt idx="0">
                  <c:v>AMI</c:v>
                </c:pt>
                <c:pt idx="1">
                  <c:v>CIP</c:v>
                </c:pt>
                <c:pt idx="2">
                  <c:v>COL</c:v>
                </c:pt>
                <c:pt idx="3">
                  <c:v>CTL</c:v>
                </c:pt>
                <c:pt idx="4">
                  <c:v>CTZ</c:v>
                </c:pt>
                <c:pt idx="5">
                  <c:v>GEN</c:v>
                </c:pt>
                <c:pt idx="6">
                  <c:v>MER</c:v>
                </c:pt>
                <c:pt idx="7">
                  <c:v>PIT</c:v>
                </c:pt>
              </c:strCache>
            </c:strRef>
          </c:cat>
          <c:val>
            <c:numRef>
              <c:f>List1!$S$12:$Z$12</c:f>
              <c:numCache>
                <c:formatCode>General</c:formatCode>
                <c:ptCount val="8"/>
                <c:pt idx="0">
                  <c:v>0</c:v>
                </c:pt>
                <c:pt idx="1">
                  <c:v>0.26315789473684209</c:v>
                </c:pt>
                <c:pt idx="2">
                  <c:v>0</c:v>
                </c:pt>
                <c:pt idx="3">
                  <c:v>5.2631578947368418E-2</c:v>
                </c:pt>
                <c:pt idx="4">
                  <c:v>0.10526315789473684</c:v>
                </c:pt>
                <c:pt idx="5">
                  <c:v>0</c:v>
                </c:pt>
                <c:pt idx="6">
                  <c:v>0.21052631578947367</c:v>
                </c:pt>
                <c:pt idx="7">
                  <c:v>0.10526315789473684</c:v>
                </c:pt>
              </c:numCache>
            </c:numRef>
          </c:val>
          <c:extLst>
            <c:ext xmlns:c16="http://schemas.microsoft.com/office/drawing/2014/chart" uri="{C3380CC4-5D6E-409C-BE32-E72D297353CC}">
              <c16:uniqueId val="{00000002-4D55-4679-9156-34A4F8A738DD}"/>
            </c:ext>
          </c:extLst>
        </c:ser>
        <c:dLbls>
          <c:showLegendKey val="0"/>
          <c:showVal val="0"/>
          <c:showCatName val="0"/>
          <c:showSerName val="0"/>
          <c:showPercent val="0"/>
          <c:showBubbleSize val="0"/>
        </c:dLbls>
        <c:gapWidth val="219"/>
        <c:overlap val="-27"/>
        <c:axId val="654605600"/>
        <c:axId val="654602976"/>
      </c:barChart>
      <c:catAx>
        <c:axId val="6546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602976"/>
        <c:crosses val="autoZero"/>
        <c:auto val="1"/>
        <c:lblAlgn val="ctr"/>
        <c:lblOffset val="100"/>
        <c:noMultiLvlLbl val="0"/>
      </c:catAx>
      <c:valAx>
        <c:axId val="654602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6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i="1" dirty="0"/>
              <a:t>Pseudomonas aeruginosa </a:t>
            </a:r>
            <a:r>
              <a:rPr lang="en-US" dirty="0"/>
              <a:t>– </a:t>
            </a:r>
            <a:r>
              <a:rPr lang="cs-CZ" dirty="0"/>
              <a:t>ostatní klinicky validní materiál</a:t>
            </a:r>
            <a:endParaRPr lang="en-US"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List1!$G$10</c:f>
              <c:strCache>
                <c:ptCount val="1"/>
                <c:pt idx="0">
                  <c:v>2019</c:v>
                </c:pt>
              </c:strCache>
            </c:strRef>
          </c:tx>
          <c:spPr>
            <a:solidFill>
              <a:srgbClr val="0000CC"/>
            </a:solidFill>
            <a:ln>
              <a:noFill/>
            </a:ln>
            <a:effectLst/>
          </c:spPr>
          <c:invertIfNegative val="0"/>
          <c:cat>
            <c:strRef>
              <c:f>List1!$H$9:$O$9</c:f>
              <c:strCache>
                <c:ptCount val="8"/>
                <c:pt idx="0">
                  <c:v>AMI</c:v>
                </c:pt>
                <c:pt idx="1">
                  <c:v>CIP</c:v>
                </c:pt>
                <c:pt idx="2">
                  <c:v>COL</c:v>
                </c:pt>
                <c:pt idx="3">
                  <c:v>CTL</c:v>
                </c:pt>
                <c:pt idx="4">
                  <c:v>CTZ</c:v>
                </c:pt>
                <c:pt idx="5">
                  <c:v>GEN</c:v>
                </c:pt>
                <c:pt idx="6">
                  <c:v>MER</c:v>
                </c:pt>
                <c:pt idx="7">
                  <c:v>PIT</c:v>
                </c:pt>
              </c:strCache>
            </c:strRef>
          </c:cat>
          <c:val>
            <c:numRef>
              <c:f>List1!$H$10:$O$10</c:f>
              <c:numCache>
                <c:formatCode>General</c:formatCode>
                <c:ptCount val="8"/>
                <c:pt idx="0">
                  <c:v>0.10307767464582315</c:v>
                </c:pt>
                <c:pt idx="1">
                  <c:v>0.23595505617977527</c:v>
                </c:pt>
                <c:pt idx="2">
                  <c:v>9.7703957010258913E-4</c:v>
                </c:pt>
                <c:pt idx="3">
                  <c:v>3.4684904738641914E-2</c:v>
                </c:pt>
                <c:pt idx="4">
                  <c:v>0.13141182217879824</c:v>
                </c:pt>
                <c:pt idx="5">
                  <c:v>0.1441133365901319</c:v>
                </c:pt>
                <c:pt idx="6">
                  <c:v>0.20957498778700537</c:v>
                </c:pt>
                <c:pt idx="7">
                  <c:v>0.13141182217879824</c:v>
                </c:pt>
              </c:numCache>
            </c:numRef>
          </c:val>
          <c:extLst>
            <c:ext xmlns:c16="http://schemas.microsoft.com/office/drawing/2014/chart" uri="{C3380CC4-5D6E-409C-BE32-E72D297353CC}">
              <c16:uniqueId val="{00000000-CF95-4BDF-ABB6-04918AF4325B}"/>
            </c:ext>
          </c:extLst>
        </c:ser>
        <c:ser>
          <c:idx val="1"/>
          <c:order val="1"/>
          <c:tx>
            <c:strRef>
              <c:f>List1!$G$11</c:f>
              <c:strCache>
                <c:ptCount val="1"/>
                <c:pt idx="0">
                  <c:v>2020</c:v>
                </c:pt>
              </c:strCache>
            </c:strRef>
          </c:tx>
          <c:spPr>
            <a:solidFill>
              <a:srgbClr val="FFFF00"/>
            </a:solidFill>
            <a:ln>
              <a:noFill/>
            </a:ln>
            <a:effectLst/>
          </c:spPr>
          <c:invertIfNegative val="0"/>
          <c:cat>
            <c:strRef>
              <c:f>List1!$H$9:$O$9</c:f>
              <c:strCache>
                <c:ptCount val="8"/>
                <c:pt idx="0">
                  <c:v>AMI</c:v>
                </c:pt>
                <c:pt idx="1">
                  <c:v>CIP</c:v>
                </c:pt>
                <c:pt idx="2">
                  <c:v>COL</c:v>
                </c:pt>
                <c:pt idx="3">
                  <c:v>CTL</c:v>
                </c:pt>
                <c:pt idx="4">
                  <c:v>CTZ</c:v>
                </c:pt>
                <c:pt idx="5">
                  <c:v>GEN</c:v>
                </c:pt>
                <c:pt idx="6">
                  <c:v>MER</c:v>
                </c:pt>
                <c:pt idx="7">
                  <c:v>PIT</c:v>
                </c:pt>
              </c:strCache>
            </c:strRef>
          </c:cat>
          <c:val>
            <c:numRef>
              <c:f>List1!$H$11:$O$11</c:f>
              <c:numCache>
                <c:formatCode>General</c:formatCode>
                <c:ptCount val="8"/>
                <c:pt idx="0">
                  <c:v>7.2170301142263762E-2</c:v>
                </c:pt>
                <c:pt idx="1">
                  <c:v>0.32554517133956384</c:v>
                </c:pt>
                <c:pt idx="2">
                  <c:v>4.1536863966770508E-3</c:v>
                </c:pt>
                <c:pt idx="3">
                  <c:v>3.0114226375908618E-2</c:v>
                </c:pt>
                <c:pt idx="4">
                  <c:v>0.11734164070612668</c:v>
                </c:pt>
                <c:pt idx="5">
                  <c:v>0.12305295950155763</c:v>
                </c:pt>
                <c:pt idx="6">
                  <c:v>0.20145379023883697</c:v>
                </c:pt>
                <c:pt idx="7">
                  <c:v>0.13966770508826584</c:v>
                </c:pt>
              </c:numCache>
            </c:numRef>
          </c:val>
          <c:extLst>
            <c:ext xmlns:c16="http://schemas.microsoft.com/office/drawing/2014/chart" uri="{C3380CC4-5D6E-409C-BE32-E72D297353CC}">
              <c16:uniqueId val="{00000001-CF95-4BDF-ABB6-04918AF4325B}"/>
            </c:ext>
          </c:extLst>
        </c:ser>
        <c:ser>
          <c:idx val="2"/>
          <c:order val="2"/>
          <c:tx>
            <c:strRef>
              <c:f>List1!$G$12</c:f>
              <c:strCache>
                <c:ptCount val="1"/>
                <c:pt idx="0">
                  <c:v>2021</c:v>
                </c:pt>
              </c:strCache>
            </c:strRef>
          </c:tx>
          <c:spPr>
            <a:solidFill>
              <a:srgbClr val="FF0000"/>
            </a:solidFill>
            <a:ln>
              <a:noFill/>
            </a:ln>
            <a:effectLst/>
          </c:spPr>
          <c:invertIfNegative val="0"/>
          <c:cat>
            <c:strRef>
              <c:f>List1!$H$9:$O$9</c:f>
              <c:strCache>
                <c:ptCount val="8"/>
                <c:pt idx="0">
                  <c:v>AMI</c:v>
                </c:pt>
                <c:pt idx="1">
                  <c:v>CIP</c:v>
                </c:pt>
                <c:pt idx="2">
                  <c:v>COL</c:v>
                </c:pt>
                <c:pt idx="3">
                  <c:v>CTL</c:v>
                </c:pt>
                <c:pt idx="4">
                  <c:v>CTZ</c:v>
                </c:pt>
                <c:pt idx="5">
                  <c:v>GEN</c:v>
                </c:pt>
                <c:pt idx="6">
                  <c:v>MER</c:v>
                </c:pt>
                <c:pt idx="7">
                  <c:v>PIT</c:v>
                </c:pt>
              </c:strCache>
            </c:strRef>
          </c:cat>
          <c:val>
            <c:numRef>
              <c:f>List1!$H$12:$O$12</c:f>
              <c:numCache>
                <c:formatCode>General</c:formatCode>
                <c:ptCount val="8"/>
                <c:pt idx="0">
                  <c:v>8.5501858736059477E-2</c:v>
                </c:pt>
                <c:pt idx="1">
                  <c:v>0.32342007434944237</c:v>
                </c:pt>
                <c:pt idx="2">
                  <c:v>3.7174721189591076E-3</c:v>
                </c:pt>
                <c:pt idx="3">
                  <c:v>3.671003717472119E-2</c:v>
                </c:pt>
                <c:pt idx="4">
                  <c:v>9.9907063197026025E-2</c:v>
                </c:pt>
                <c:pt idx="5">
                  <c:v>1.2081784386617101E-2</c:v>
                </c:pt>
                <c:pt idx="6">
                  <c:v>2.0446096654275093E-2</c:v>
                </c:pt>
                <c:pt idx="7">
                  <c:v>0.12453531598513011</c:v>
                </c:pt>
              </c:numCache>
            </c:numRef>
          </c:val>
          <c:extLst>
            <c:ext xmlns:c16="http://schemas.microsoft.com/office/drawing/2014/chart" uri="{C3380CC4-5D6E-409C-BE32-E72D297353CC}">
              <c16:uniqueId val="{00000002-CF95-4BDF-ABB6-04918AF4325B}"/>
            </c:ext>
          </c:extLst>
        </c:ser>
        <c:dLbls>
          <c:showLegendKey val="0"/>
          <c:showVal val="0"/>
          <c:showCatName val="0"/>
          <c:showSerName val="0"/>
          <c:showPercent val="0"/>
          <c:showBubbleSize val="0"/>
        </c:dLbls>
        <c:gapWidth val="219"/>
        <c:overlap val="-27"/>
        <c:axId val="650947432"/>
        <c:axId val="650945136"/>
      </c:barChart>
      <c:catAx>
        <c:axId val="65094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945136"/>
        <c:crosses val="autoZero"/>
        <c:auto val="1"/>
        <c:lblAlgn val="ctr"/>
        <c:lblOffset val="100"/>
        <c:noMultiLvlLbl val="0"/>
      </c:catAx>
      <c:valAx>
        <c:axId val="6509451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94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i="1" dirty="0"/>
              <a:t>P. aeruginosa </a:t>
            </a:r>
            <a:r>
              <a:rPr lang="cs-CZ" dirty="0"/>
              <a:t>- </a:t>
            </a:r>
            <a:r>
              <a:rPr lang="en-US" dirty="0"/>
              <a:t>ceftolozan/</a:t>
            </a:r>
            <a:r>
              <a:rPr lang="en-US" dirty="0" err="1"/>
              <a:t>tazoba</a:t>
            </a:r>
            <a:r>
              <a:rPr lang="cs-CZ" dirty="0"/>
              <a:t>k</a:t>
            </a:r>
            <a:r>
              <a:rPr lang="en-US" dirty="0"/>
              <a:t>tam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psae!$B$56</c:f>
              <c:strCache>
                <c:ptCount val="1"/>
                <c:pt idx="0">
                  <c:v>PSAEsusc.</c:v>
                </c:pt>
              </c:strCache>
            </c:strRef>
          </c:tx>
          <c:spPr>
            <a:solidFill>
              <a:srgbClr val="0000CC"/>
            </a:solidFill>
            <a:ln>
              <a:noFill/>
            </a:ln>
            <a:effectLst/>
          </c:spPr>
          <c:invertIfNegative val="0"/>
          <c:cat>
            <c:strRef>
              <c:f>psae!$C$55:$O$55</c:f>
              <c:strCache>
                <c:ptCount val="13"/>
                <c:pt idx="0">
                  <c:v>0,125</c:v>
                </c:pt>
                <c:pt idx="1">
                  <c:v>0,25</c:v>
                </c:pt>
                <c:pt idx="2">
                  <c:v>0,5</c:v>
                </c:pt>
                <c:pt idx="3">
                  <c:v>1</c:v>
                </c:pt>
                <c:pt idx="4">
                  <c:v>2</c:v>
                </c:pt>
                <c:pt idx="5">
                  <c:v>4</c:v>
                </c:pt>
                <c:pt idx="6">
                  <c:v>8</c:v>
                </c:pt>
                <c:pt idx="7">
                  <c:v>16</c:v>
                </c:pt>
                <c:pt idx="8">
                  <c:v>32</c:v>
                </c:pt>
                <c:pt idx="9">
                  <c:v>64</c:v>
                </c:pt>
                <c:pt idx="10">
                  <c:v>128</c:v>
                </c:pt>
                <c:pt idx="11">
                  <c:v>256</c:v>
                </c:pt>
                <c:pt idx="12">
                  <c:v>&gt;256</c:v>
                </c:pt>
              </c:strCache>
            </c:strRef>
          </c:cat>
          <c:val>
            <c:numRef>
              <c:f>psae!$C$56:$O$56</c:f>
              <c:numCache>
                <c:formatCode>General</c:formatCode>
                <c:ptCount val="13"/>
                <c:pt idx="1">
                  <c:v>3</c:v>
                </c:pt>
                <c:pt idx="2">
                  <c:v>14</c:v>
                </c:pt>
                <c:pt idx="3">
                  <c:v>3</c:v>
                </c:pt>
              </c:numCache>
            </c:numRef>
          </c:val>
          <c:extLst>
            <c:ext xmlns:c16="http://schemas.microsoft.com/office/drawing/2014/chart" uri="{C3380CC4-5D6E-409C-BE32-E72D297353CC}">
              <c16:uniqueId val="{00000000-59CB-44FD-989A-D07DEAC26BD4}"/>
            </c:ext>
          </c:extLst>
        </c:ser>
        <c:ser>
          <c:idx val="1"/>
          <c:order val="1"/>
          <c:tx>
            <c:strRef>
              <c:f>psae!$B$57</c:f>
              <c:strCache>
                <c:ptCount val="1"/>
                <c:pt idx="0">
                  <c:v>DTR PSAE</c:v>
                </c:pt>
              </c:strCache>
            </c:strRef>
          </c:tx>
          <c:spPr>
            <a:solidFill>
              <a:srgbClr val="FF0000"/>
            </a:solidFill>
            <a:ln>
              <a:noFill/>
            </a:ln>
            <a:effectLst/>
          </c:spPr>
          <c:invertIfNegative val="0"/>
          <c:cat>
            <c:strRef>
              <c:f>psae!$C$55:$O$55</c:f>
              <c:strCache>
                <c:ptCount val="13"/>
                <c:pt idx="0">
                  <c:v>0,125</c:v>
                </c:pt>
                <c:pt idx="1">
                  <c:v>0,25</c:v>
                </c:pt>
                <c:pt idx="2">
                  <c:v>0,5</c:v>
                </c:pt>
                <c:pt idx="3">
                  <c:v>1</c:v>
                </c:pt>
                <c:pt idx="4">
                  <c:v>2</c:v>
                </c:pt>
                <c:pt idx="5">
                  <c:v>4</c:v>
                </c:pt>
                <c:pt idx="6">
                  <c:v>8</c:v>
                </c:pt>
                <c:pt idx="7">
                  <c:v>16</c:v>
                </c:pt>
                <c:pt idx="8">
                  <c:v>32</c:v>
                </c:pt>
                <c:pt idx="9">
                  <c:v>64</c:v>
                </c:pt>
                <c:pt idx="10">
                  <c:v>128</c:v>
                </c:pt>
                <c:pt idx="11">
                  <c:v>256</c:v>
                </c:pt>
                <c:pt idx="12">
                  <c:v>&gt;256</c:v>
                </c:pt>
              </c:strCache>
            </c:strRef>
          </c:cat>
          <c:val>
            <c:numRef>
              <c:f>psae!$C$57:$O$57</c:f>
              <c:numCache>
                <c:formatCode>General</c:formatCode>
                <c:ptCount val="13"/>
                <c:pt idx="3">
                  <c:v>2</c:v>
                </c:pt>
                <c:pt idx="4">
                  <c:v>8</c:v>
                </c:pt>
                <c:pt idx="8">
                  <c:v>3</c:v>
                </c:pt>
                <c:pt idx="12">
                  <c:v>2</c:v>
                </c:pt>
              </c:numCache>
            </c:numRef>
          </c:val>
          <c:extLst>
            <c:ext xmlns:c16="http://schemas.microsoft.com/office/drawing/2014/chart" uri="{C3380CC4-5D6E-409C-BE32-E72D297353CC}">
              <c16:uniqueId val="{00000001-59CB-44FD-989A-D07DEAC26BD4}"/>
            </c:ext>
          </c:extLst>
        </c:ser>
        <c:dLbls>
          <c:showLegendKey val="0"/>
          <c:showVal val="0"/>
          <c:showCatName val="0"/>
          <c:showSerName val="0"/>
          <c:showPercent val="0"/>
          <c:showBubbleSize val="0"/>
        </c:dLbls>
        <c:gapWidth val="0"/>
        <c:axId val="319706192"/>
        <c:axId val="319705536"/>
      </c:barChart>
      <c:catAx>
        <c:axId val="31970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705536"/>
        <c:crosses val="autoZero"/>
        <c:auto val="1"/>
        <c:lblAlgn val="ctr"/>
        <c:lblOffset val="100"/>
        <c:noMultiLvlLbl val="0"/>
      </c:catAx>
      <c:valAx>
        <c:axId val="31970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70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1" u="none" strike="noStrike" baseline="0" dirty="0">
                <a:effectLst/>
              </a:rPr>
              <a:t>P. aeruginosa </a:t>
            </a:r>
            <a:r>
              <a:rPr lang="cs-CZ" sz="1400" b="0" i="0" u="none" strike="noStrike" baseline="0" dirty="0">
                <a:effectLst/>
              </a:rPr>
              <a:t>- </a:t>
            </a:r>
            <a:r>
              <a:rPr lang="en-US" dirty="0"/>
              <a:t>ceftazidim/</a:t>
            </a:r>
            <a:r>
              <a:rPr lang="en-US" dirty="0" err="1"/>
              <a:t>aviba</a:t>
            </a:r>
            <a:r>
              <a:rPr lang="cs-CZ" dirty="0"/>
              <a:t>k</a:t>
            </a:r>
            <a:r>
              <a:rPr lang="en-US" dirty="0"/>
              <a:t>tam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psae!$B$50</c:f>
              <c:strCache>
                <c:ptCount val="1"/>
                <c:pt idx="0">
                  <c:v>PSAEsusc.</c:v>
                </c:pt>
              </c:strCache>
            </c:strRef>
          </c:tx>
          <c:spPr>
            <a:solidFill>
              <a:srgbClr val="0000CC"/>
            </a:solidFill>
            <a:ln>
              <a:noFill/>
            </a:ln>
            <a:effectLst/>
          </c:spPr>
          <c:invertIfNegative val="0"/>
          <c:cat>
            <c:strRef>
              <c:f>psae!$C$49:$N$49</c:f>
              <c:strCache>
                <c:ptCount val="12"/>
                <c:pt idx="0">
                  <c:v>0,25</c:v>
                </c:pt>
                <c:pt idx="1">
                  <c:v>0,5</c:v>
                </c:pt>
                <c:pt idx="2">
                  <c:v>1</c:v>
                </c:pt>
                <c:pt idx="3">
                  <c:v>2</c:v>
                </c:pt>
                <c:pt idx="4">
                  <c:v>4</c:v>
                </c:pt>
                <c:pt idx="5">
                  <c:v>8</c:v>
                </c:pt>
                <c:pt idx="6">
                  <c:v>16</c:v>
                </c:pt>
                <c:pt idx="7">
                  <c:v>32</c:v>
                </c:pt>
                <c:pt idx="8">
                  <c:v>64</c:v>
                </c:pt>
                <c:pt idx="9">
                  <c:v>128</c:v>
                </c:pt>
                <c:pt idx="10">
                  <c:v>256</c:v>
                </c:pt>
                <c:pt idx="11">
                  <c:v>&gt;256</c:v>
                </c:pt>
              </c:strCache>
            </c:strRef>
          </c:cat>
          <c:val>
            <c:numRef>
              <c:f>psae!$C$50:$N$50</c:f>
              <c:numCache>
                <c:formatCode>General</c:formatCode>
                <c:ptCount val="12"/>
                <c:pt idx="1">
                  <c:v>1</c:v>
                </c:pt>
                <c:pt idx="2">
                  <c:v>11</c:v>
                </c:pt>
                <c:pt idx="3">
                  <c:v>7</c:v>
                </c:pt>
                <c:pt idx="4">
                  <c:v>1</c:v>
                </c:pt>
              </c:numCache>
            </c:numRef>
          </c:val>
          <c:extLst>
            <c:ext xmlns:c16="http://schemas.microsoft.com/office/drawing/2014/chart" uri="{C3380CC4-5D6E-409C-BE32-E72D297353CC}">
              <c16:uniqueId val="{00000000-8E49-4986-82E7-741CB3966740}"/>
            </c:ext>
          </c:extLst>
        </c:ser>
        <c:ser>
          <c:idx val="1"/>
          <c:order val="1"/>
          <c:tx>
            <c:strRef>
              <c:f>psae!$B$51</c:f>
              <c:strCache>
                <c:ptCount val="1"/>
                <c:pt idx="0">
                  <c:v>DTR PSAE</c:v>
                </c:pt>
              </c:strCache>
            </c:strRef>
          </c:tx>
          <c:spPr>
            <a:solidFill>
              <a:srgbClr val="FF0000"/>
            </a:solidFill>
            <a:ln>
              <a:noFill/>
            </a:ln>
            <a:effectLst/>
          </c:spPr>
          <c:invertIfNegative val="0"/>
          <c:cat>
            <c:strRef>
              <c:f>psae!$C$49:$N$49</c:f>
              <c:strCache>
                <c:ptCount val="12"/>
                <c:pt idx="0">
                  <c:v>0,25</c:v>
                </c:pt>
                <c:pt idx="1">
                  <c:v>0,5</c:v>
                </c:pt>
                <c:pt idx="2">
                  <c:v>1</c:v>
                </c:pt>
                <c:pt idx="3">
                  <c:v>2</c:v>
                </c:pt>
                <c:pt idx="4">
                  <c:v>4</c:v>
                </c:pt>
                <c:pt idx="5">
                  <c:v>8</c:v>
                </c:pt>
                <c:pt idx="6">
                  <c:v>16</c:v>
                </c:pt>
                <c:pt idx="7">
                  <c:v>32</c:v>
                </c:pt>
                <c:pt idx="8">
                  <c:v>64</c:v>
                </c:pt>
                <c:pt idx="9">
                  <c:v>128</c:v>
                </c:pt>
                <c:pt idx="10">
                  <c:v>256</c:v>
                </c:pt>
                <c:pt idx="11">
                  <c:v>&gt;256</c:v>
                </c:pt>
              </c:strCache>
            </c:strRef>
          </c:cat>
          <c:val>
            <c:numRef>
              <c:f>psae!$C$51:$N$51</c:f>
              <c:numCache>
                <c:formatCode>General</c:formatCode>
                <c:ptCount val="12"/>
                <c:pt idx="4">
                  <c:v>3</c:v>
                </c:pt>
                <c:pt idx="5">
                  <c:v>7</c:v>
                </c:pt>
                <c:pt idx="6">
                  <c:v>2</c:v>
                </c:pt>
                <c:pt idx="7">
                  <c:v>1</c:v>
                </c:pt>
                <c:pt idx="11">
                  <c:v>2</c:v>
                </c:pt>
              </c:numCache>
            </c:numRef>
          </c:val>
          <c:extLst>
            <c:ext xmlns:c16="http://schemas.microsoft.com/office/drawing/2014/chart" uri="{C3380CC4-5D6E-409C-BE32-E72D297353CC}">
              <c16:uniqueId val="{00000001-8E49-4986-82E7-741CB3966740}"/>
            </c:ext>
          </c:extLst>
        </c:ser>
        <c:dLbls>
          <c:showLegendKey val="0"/>
          <c:showVal val="0"/>
          <c:showCatName val="0"/>
          <c:showSerName val="0"/>
          <c:showPercent val="0"/>
          <c:showBubbleSize val="0"/>
        </c:dLbls>
        <c:gapWidth val="0"/>
        <c:axId val="693900064"/>
        <c:axId val="693901048"/>
      </c:barChart>
      <c:catAx>
        <c:axId val="69390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901048"/>
        <c:crosses val="autoZero"/>
        <c:auto val="1"/>
        <c:lblAlgn val="ctr"/>
        <c:lblOffset val="100"/>
        <c:noMultiLvlLbl val="0"/>
      </c:catAx>
      <c:valAx>
        <c:axId val="69390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90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0.43651</cdr:x>
      <cdr:y>0.13198</cdr:y>
    </cdr:from>
    <cdr:to>
      <cdr:x>0.44643</cdr:x>
      <cdr:y>0.82421</cdr:y>
    </cdr:to>
    <cdr:cxnSp macro="">
      <cdr:nvCxnSpPr>
        <cdr:cNvPr id="2" name="Přímá spojnice 1">
          <a:extLst xmlns:a="http://schemas.openxmlformats.org/drawingml/2006/main">
            <a:ext uri="{FF2B5EF4-FFF2-40B4-BE49-F238E27FC236}">
              <a16:creationId xmlns:a16="http://schemas.microsoft.com/office/drawing/2014/main" id="{DA0C42B0-8772-4654-ABBC-33DA70E7F964}"/>
            </a:ext>
          </a:extLst>
        </cdr:cNvPr>
        <cdr:cNvCxnSpPr/>
      </cdr:nvCxnSpPr>
      <cdr:spPr>
        <a:xfrm xmlns:a="http://schemas.openxmlformats.org/drawingml/2006/main">
          <a:off x="2514600" y="466725"/>
          <a:ext cx="57150" cy="2447925"/>
        </a:xfrm>
        <a:prstGeom xmlns:a="http://schemas.openxmlformats.org/drawingml/2006/main" prst="line">
          <a:avLst/>
        </a:prstGeom>
        <a:ln xmlns:a="http://schemas.openxmlformats.org/drawingml/2006/main" w="571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0.59905</cdr:x>
      <cdr:y>0.09624</cdr:y>
    </cdr:from>
    <cdr:to>
      <cdr:x>0.64364</cdr:x>
      <cdr:y>0.18319</cdr:y>
    </cdr:to>
    <cdr:sp macro="" textlink="">
      <cdr:nvSpPr>
        <cdr:cNvPr id="5" name="Obdélník 4">
          <a:extLst xmlns:a="http://schemas.openxmlformats.org/drawingml/2006/main">
            <a:ext uri="{FF2B5EF4-FFF2-40B4-BE49-F238E27FC236}">
              <a16:creationId xmlns:a16="http://schemas.microsoft.com/office/drawing/2014/main" id="{06BDA557-B549-46EB-9E2D-C436DE8137A2}"/>
            </a:ext>
          </a:extLst>
        </cdr:cNvPr>
        <cdr:cNvSpPr/>
      </cdr:nvSpPr>
      <cdr:spPr>
        <a:xfrm xmlns:a="http://schemas.openxmlformats.org/drawingml/2006/main">
          <a:off x="3634690" y="358424"/>
          <a:ext cx="270559" cy="323826"/>
        </a:xfrm>
        <a:prstGeom xmlns:a="http://schemas.openxmlformats.org/drawingml/2006/main" prst="rect">
          <a:avLst/>
        </a:prstGeom>
        <a:noFill xmlns:a="http://schemas.openxmlformats.org/drawingml/2006/main"/>
        <a:ln xmlns:a="http://schemas.openxmlformats.org/drawingml/2006/main" w="2857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cs-CZ" sz="1800" b="1" dirty="0">
              <a:solidFill>
                <a:srgbClr val="FF0000"/>
              </a:solidFill>
            </a:rPr>
            <a:t>R</a:t>
          </a:r>
        </a:p>
      </cdr:txBody>
    </cdr:sp>
  </cdr:relSizeAnchor>
  <cdr:relSizeAnchor xmlns:cdr="http://schemas.openxmlformats.org/drawingml/2006/chartDrawing">
    <cdr:from>
      <cdr:x>0.30373</cdr:x>
      <cdr:y>0.10831</cdr:y>
    </cdr:from>
    <cdr:to>
      <cdr:x>0.34694</cdr:x>
      <cdr:y>0.19526</cdr:y>
    </cdr:to>
    <cdr:sp macro="" textlink="">
      <cdr:nvSpPr>
        <cdr:cNvPr id="6" name="Obdélník 5">
          <a:extLst xmlns:a="http://schemas.openxmlformats.org/drawingml/2006/main">
            <a:ext uri="{FF2B5EF4-FFF2-40B4-BE49-F238E27FC236}">
              <a16:creationId xmlns:a16="http://schemas.microsoft.com/office/drawing/2014/main" id="{0B95C52F-E2A2-4E36-B97D-52DCB823A67D}"/>
            </a:ext>
          </a:extLst>
        </cdr:cNvPr>
        <cdr:cNvSpPr/>
      </cdr:nvSpPr>
      <cdr:spPr>
        <a:xfrm xmlns:a="http://schemas.openxmlformats.org/drawingml/2006/main">
          <a:off x="1842856" y="403358"/>
          <a:ext cx="262169" cy="323826"/>
        </a:xfrm>
        <a:prstGeom xmlns:a="http://schemas.openxmlformats.org/drawingml/2006/main" prst="rect">
          <a:avLst/>
        </a:prstGeom>
        <a:noFill xmlns:a="http://schemas.openxmlformats.org/drawingml/2006/main"/>
        <a:ln xmlns:a="http://schemas.openxmlformats.org/drawingml/2006/main" w="2857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cs-CZ" sz="1600" b="1" dirty="0">
              <a:solidFill>
                <a:srgbClr val="FF0000"/>
              </a:solidFill>
            </a:rPr>
            <a:t>S</a:t>
          </a:r>
        </a:p>
      </cdr:txBody>
    </cdr:sp>
  </cdr:relSizeAnchor>
</c:userShapes>
</file>

<file path=word/drawings/drawing2.xml><?xml version="1.0" encoding="utf-8"?>
<c:userShapes xmlns:c="http://schemas.openxmlformats.org/drawingml/2006/chart">
  <cdr:relSizeAnchor xmlns:cdr="http://schemas.openxmlformats.org/drawingml/2006/chartDrawing">
    <cdr:from>
      <cdr:x>0.51062</cdr:x>
      <cdr:y>0.14527</cdr:y>
    </cdr:from>
    <cdr:to>
      <cdr:x>0.51062</cdr:x>
      <cdr:y>0.80743</cdr:y>
    </cdr:to>
    <cdr:cxnSp macro="">
      <cdr:nvCxnSpPr>
        <cdr:cNvPr id="2" name="Přímá spojnice 1">
          <a:extLst xmlns:a="http://schemas.openxmlformats.org/drawingml/2006/main">
            <a:ext uri="{FF2B5EF4-FFF2-40B4-BE49-F238E27FC236}">
              <a16:creationId xmlns:a16="http://schemas.microsoft.com/office/drawing/2014/main" id="{312B1B11-049A-41A2-BACF-D47F8AB3AEB6}"/>
            </a:ext>
          </a:extLst>
        </cdr:cNvPr>
        <cdr:cNvCxnSpPr/>
      </cdr:nvCxnSpPr>
      <cdr:spPr>
        <a:xfrm xmlns:a="http://schemas.openxmlformats.org/drawingml/2006/main">
          <a:off x="2780390" y="409574"/>
          <a:ext cx="0" cy="1866901"/>
        </a:xfrm>
        <a:prstGeom xmlns:a="http://schemas.openxmlformats.org/drawingml/2006/main" prst="line">
          <a:avLst/>
        </a:prstGeom>
        <a:ln xmlns:a="http://schemas.openxmlformats.org/drawingml/2006/main" w="571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0.6768</cdr:x>
      <cdr:y>0.14515</cdr:y>
    </cdr:from>
    <cdr:to>
      <cdr:x>0.72649</cdr:x>
      <cdr:y>0.26</cdr:y>
    </cdr:to>
    <cdr:sp macro="" textlink="">
      <cdr:nvSpPr>
        <cdr:cNvPr id="4" name="Obdélník 3">
          <a:extLst xmlns:a="http://schemas.openxmlformats.org/drawingml/2006/main">
            <a:ext uri="{FF2B5EF4-FFF2-40B4-BE49-F238E27FC236}">
              <a16:creationId xmlns:a16="http://schemas.microsoft.com/office/drawing/2014/main" id="{9F5886F9-ECEA-4D2C-A07A-FF5B65904983}"/>
            </a:ext>
          </a:extLst>
        </cdr:cNvPr>
        <cdr:cNvSpPr/>
      </cdr:nvSpPr>
      <cdr:spPr>
        <a:xfrm xmlns:a="http://schemas.openxmlformats.org/drawingml/2006/main">
          <a:off x="3685490" y="409224"/>
          <a:ext cx="270559" cy="323826"/>
        </a:xfrm>
        <a:prstGeom xmlns:a="http://schemas.openxmlformats.org/drawingml/2006/main" prst="rect">
          <a:avLst/>
        </a:prstGeom>
        <a:noFill xmlns:a="http://schemas.openxmlformats.org/drawingml/2006/main"/>
        <a:ln xmlns:a="http://schemas.openxmlformats.org/drawingml/2006/main" w="2857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cs-CZ" sz="1800" b="1" dirty="0">
              <a:solidFill>
                <a:srgbClr val="FF0000"/>
              </a:solidFill>
            </a:rPr>
            <a:t>R</a:t>
          </a:r>
        </a:p>
      </cdr:txBody>
    </cdr:sp>
  </cdr:relSizeAnchor>
  <cdr:relSizeAnchor xmlns:cdr="http://schemas.openxmlformats.org/drawingml/2006/chartDrawing">
    <cdr:from>
      <cdr:x>0.34775</cdr:x>
      <cdr:y>0.16108</cdr:y>
    </cdr:from>
    <cdr:to>
      <cdr:x>0.3959</cdr:x>
      <cdr:y>0.27594</cdr:y>
    </cdr:to>
    <cdr:sp macro="" textlink="">
      <cdr:nvSpPr>
        <cdr:cNvPr id="5" name="Obdélník 4">
          <a:extLst xmlns:a="http://schemas.openxmlformats.org/drawingml/2006/main">
            <a:ext uri="{FF2B5EF4-FFF2-40B4-BE49-F238E27FC236}">
              <a16:creationId xmlns:a16="http://schemas.microsoft.com/office/drawing/2014/main" id="{0113EDE2-1B3A-45F0-A2D3-1E4F15787E59}"/>
            </a:ext>
          </a:extLst>
        </cdr:cNvPr>
        <cdr:cNvSpPr/>
      </cdr:nvSpPr>
      <cdr:spPr>
        <a:xfrm xmlns:a="http://schemas.openxmlformats.org/drawingml/2006/main">
          <a:off x="1893656" y="454158"/>
          <a:ext cx="262169" cy="323826"/>
        </a:xfrm>
        <a:prstGeom xmlns:a="http://schemas.openxmlformats.org/drawingml/2006/main" prst="rect">
          <a:avLst/>
        </a:prstGeom>
        <a:noFill xmlns:a="http://schemas.openxmlformats.org/drawingml/2006/main"/>
        <a:ln xmlns:a="http://schemas.openxmlformats.org/drawingml/2006/main" w="2857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cs-CZ" sz="1600" b="1" dirty="0">
              <a:solidFill>
                <a:srgbClr val="FF0000"/>
              </a:solidFill>
            </a:rPr>
            <a:t>S</a:t>
          </a:r>
        </a:p>
      </cdr:txBody>
    </cdr:sp>
  </cdr:relSizeAnchor>
</c:userShape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1264</Words>
  <Characters>7210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Václava, MUDr. Ph.D.</dc:creator>
  <cp:keywords/>
  <dc:description/>
  <cp:lastModifiedBy>Krížová, Radka</cp:lastModifiedBy>
  <cp:revision>30</cp:revision>
  <dcterms:created xsi:type="dcterms:W3CDTF">2022-12-06T08:19:00Z</dcterms:created>
  <dcterms:modified xsi:type="dcterms:W3CDTF">2022-12-20T13:15:00Z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2022-12-06T08:19:57Z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64e73c32-88c0-4c09-86d4-f2396a1a6048</vt:lpwstr>
  </property>
  <property fmtid="{D5CDD505-2E9C-101B-9397-08002B2CF9AE}" pid="8" name="MSIP_Label_2063cd7f-2d21-486a-9f29-9c1683fdd175_ContentBits">
    <vt:lpwstr>0</vt:lpwstr>
  </property>
  <property fmtid="{D5CDD505-2E9C-101B-9397-08002B2CF9AE}" pid="9" name="MSIP_Label_927fd646-07cb-4c4e-a107-4e4d6b30ba1b_Enabled">
    <vt:lpwstr>true</vt:lpwstr>
  </property>
  <property fmtid="{D5CDD505-2E9C-101B-9397-08002B2CF9AE}" pid="10" name="MSIP_Label_927fd646-07cb-4c4e-a107-4e4d6b30ba1b_SetDate">
    <vt:lpwstr>2022-12-20T11:58:13Z</vt:lpwstr>
  </property>
  <property fmtid="{D5CDD505-2E9C-101B-9397-08002B2CF9AE}" pid="11" name="MSIP_Label_927fd646-07cb-4c4e-a107-4e4d6b30ba1b_Method">
    <vt:lpwstr>Privileged</vt:lpwstr>
  </property>
  <property fmtid="{D5CDD505-2E9C-101B-9397-08002B2CF9AE}" pid="12" name="MSIP_Label_927fd646-07cb-4c4e-a107-4e4d6b30ba1b_Name">
    <vt:lpwstr>927fd646-07cb-4c4e-a107-4e4d6b30ba1b</vt:lpwstr>
  </property>
  <property fmtid="{D5CDD505-2E9C-101B-9397-08002B2CF9AE}" pid="13" name="MSIP_Label_927fd646-07cb-4c4e-a107-4e4d6b30ba1b_SiteId">
    <vt:lpwstr>a00de4ec-48a8-43a6-be74-e31274e2060d</vt:lpwstr>
  </property>
  <property fmtid="{D5CDD505-2E9C-101B-9397-08002B2CF9AE}" pid="14" name="MSIP_Label_927fd646-07cb-4c4e-a107-4e4d6b30ba1b_ActionId">
    <vt:lpwstr>ddef4f45-8480-42e4-9c35-1cc43f7d3405</vt:lpwstr>
  </property>
  <property fmtid="{D5CDD505-2E9C-101B-9397-08002B2CF9AE}" pid="15" name="MSIP_Label_927fd646-07cb-4c4e-a107-4e4d6b30ba1b_ContentBits">
    <vt:lpwstr>1</vt:lpwstr>
  </property>
  <property fmtid="{D5CDD505-2E9C-101B-9397-08002B2CF9AE}" pid="16" name="MerckAIPLabel">
    <vt:lpwstr>Proprietary</vt:lpwstr>
  </property>
  <property fmtid="{D5CDD505-2E9C-101B-9397-08002B2CF9AE}" pid="17" name="MerckAIPDataExchange">
    <vt:lpwstr>!MRKMIP@Proprietary</vt:lpwstr>
  </property>
</Properties>
</file>