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B513" w14:textId="2041148C" w:rsidR="00B07F1F" w:rsidRDefault="00C7086D">
      <w:pPr>
        <w:pStyle w:val="BodyText"/>
        <w:tabs>
          <w:tab w:val="left" w:pos="2511"/>
          <w:tab w:val="left" w:pos="3846"/>
          <w:tab w:val="left" w:pos="5315"/>
          <w:tab w:val="left" w:pos="6564"/>
          <w:tab w:val="left" w:pos="7800"/>
          <w:tab w:val="left" w:pos="9367"/>
          <w:tab w:val="left" w:pos="10604"/>
        </w:tabs>
        <w:spacing w:before="80"/>
        <w:ind w:left="242" w:right="108"/>
        <w:jc w:val="both"/>
        <w:rPr>
          <w:spacing w:val="-2"/>
        </w:rPr>
      </w:pPr>
      <w:r>
        <w:rPr>
          <w:b/>
        </w:rPr>
        <w:t>Zkrácená informace o léčivém přípravku Gardasil®, injekční suspenze v předplněné injekční stříkačce.</w:t>
      </w:r>
      <w:r>
        <w:rPr>
          <w:b/>
          <w:spacing w:val="37"/>
        </w:rPr>
        <w:t xml:space="preserve"> </w:t>
      </w:r>
      <w:r>
        <w:t xml:space="preserve">Očkovací látka proti lidskému papilomaviru [typy 6,11,16,18] (rekombinantní, adsorbovaná). </w:t>
      </w:r>
      <w:r>
        <w:rPr>
          <w:b/>
        </w:rPr>
        <w:t>Složení:</w:t>
      </w:r>
      <w:r>
        <w:rPr>
          <w:b/>
          <w:spacing w:val="40"/>
        </w:rPr>
        <w:t xml:space="preserve"> </w:t>
      </w:r>
      <w:r>
        <w:t>1 dávka (0,5 ml) obsahuje přibližně:</w:t>
      </w:r>
      <w:r>
        <w:rPr>
          <w:spacing w:val="40"/>
        </w:rPr>
        <w:t xml:space="preserve"> </w:t>
      </w:r>
      <w:r>
        <w:t xml:space="preserve">Papillomaviri humani typus 6 proteinum L1 - 20 mikrogramů; Papillomaviri humani typus 11 proteinum L1 - 40 mikrogramů; Papillomaviri humani typus 16 proteinum L1 – 40 mikrogramů; Papillomaviri humani typus 18 proteinum L1 - 20 mikrogramů. </w:t>
      </w:r>
      <w:r>
        <w:rPr>
          <w:b/>
        </w:rPr>
        <w:t xml:space="preserve">Léková forma: </w:t>
      </w:r>
      <w:r>
        <w:t xml:space="preserve">Injekční suspenze v předplněné injekční stříkačce. </w:t>
      </w:r>
      <w:r>
        <w:rPr>
          <w:b/>
        </w:rPr>
        <w:t xml:space="preserve">Indikace: </w:t>
      </w:r>
      <w:r>
        <w:t xml:space="preserve">použití od věku 9 let k prevenci: premaligních genitálních (cervikálních, vulválních a vaginálních), premaligních análních lézí, cervikálních karcinomů a análních karcinomů v příčinné souvislosti s jistými onkogenními typy lidského papilomaviru (HPV); bradavic genitálu (condyloma acuminata) v příčinné souvislosti se specifickými typy HPV. Tato indikace je založena na průkazu účinnosti přípravku Gardasil u žen ve věku 16 až 45 let a u mužů ve věku 16 až 26 let a na průkazu imunogenicity přípravku Gardasil u dětí ve věku 9 až 15 let a dospívajících. Použití přípravku Gardasil musí být v souladu s oficiálními doporučeními. </w:t>
      </w:r>
      <w:r>
        <w:rPr>
          <w:b/>
        </w:rPr>
        <w:t xml:space="preserve">Dávkování a způsob podání: </w:t>
      </w:r>
      <w:r>
        <w:t xml:space="preserve">Dávkování: Jedinci ve věku 9 až 13 let věku včetně: Gardasil lze podávat podle dvoudávkového schématu (0,5 ml v nultém a šestém měsíci). Pokud se druhá dávka očkovací látky podá dříve než 6 měsíců po první dávce, je nutno vždy podat třetí dávku. Alternativně lze Gardasil podat podle třídávkového schématu (0,5 ml v nultém, druhém a šestém měsíci). Druhou dávku je nutno podat nejméně jeden měsíc po první dávce a třetí dávku je nutno podat nejméně 3 měsíce po druhé dávce. Všechny tři dávky musí být podány během období jednoho roku. Jedinci ve věku 14 let a starší: Gardasil je nutno podat podle třídávkového schématu (0,5 ml v nultém, druhém a šestém měsíci). Druhou dávku je nutno podat nejméně jeden měsíc po první dávce a třetí dávku je nutno podat nejméně 3 měsíce po druhé dávce. Všechny tři dávky musí být podány během období jednoho roku. Podávání přípravku Gardasil musí probíhat v souladu s oficiálními doporučeními. Pediatrická populace: bezpečnost a účinnost přípravku Gardasil u dětí mladších 9 let nebyla stanovena. </w:t>
      </w:r>
      <w:r>
        <w:rPr>
          <w:b/>
        </w:rPr>
        <w:t xml:space="preserve">Kontraindikace: </w:t>
      </w:r>
      <w:r>
        <w:t>Hypersenzitivita na léčivé látky nebo na kteroukoli pomocnou látku. Jedinci, u nichž se po podání dávky</w:t>
      </w:r>
      <w:r>
        <w:rPr>
          <w:spacing w:val="40"/>
        </w:rPr>
        <w:t xml:space="preserve"> </w:t>
      </w:r>
      <w:r>
        <w:t>přípravku</w:t>
      </w:r>
      <w:r>
        <w:rPr>
          <w:spacing w:val="-1"/>
        </w:rPr>
        <w:t xml:space="preserve"> </w:t>
      </w:r>
      <w:r>
        <w:t>Gardasil objeví</w:t>
      </w:r>
      <w:r>
        <w:rPr>
          <w:spacing w:val="-1"/>
        </w:rPr>
        <w:t xml:space="preserve"> </w:t>
      </w:r>
      <w:r>
        <w:t>příznaky</w:t>
      </w:r>
      <w:r>
        <w:rPr>
          <w:spacing w:val="-1"/>
        </w:rPr>
        <w:t xml:space="preserve"> </w:t>
      </w:r>
      <w:r>
        <w:t>hypersenzitivity,</w:t>
      </w:r>
      <w:r>
        <w:rPr>
          <w:spacing w:val="-1"/>
        </w:rPr>
        <w:t xml:space="preserve"> </w:t>
      </w:r>
      <w:r>
        <w:t>nesmí</w:t>
      </w:r>
      <w:r>
        <w:rPr>
          <w:spacing w:val="-1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dávku</w:t>
      </w:r>
      <w:r>
        <w:rPr>
          <w:spacing w:val="-1"/>
        </w:rPr>
        <w:t xml:space="preserve"> </w:t>
      </w:r>
      <w:r>
        <w:t>přípravku</w:t>
      </w:r>
      <w:r>
        <w:rPr>
          <w:spacing w:val="-1"/>
        </w:rPr>
        <w:t xml:space="preserve"> </w:t>
      </w:r>
      <w:r>
        <w:t>Gardasil dostat.</w:t>
      </w:r>
      <w:r>
        <w:rPr>
          <w:spacing w:val="-1"/>
        </w:rPr>
        <w:t xml:space="preserve"> </w:t>
      </w:r>
      <w:r>
        <w:t>Podávání přípravku</w:t>
      </w:r>
      <w:r>
        <w:rPr>
          <w:spacing w:val="-1"/>
        </w:rPr>
        <w:t xml:space="preserve"> </w:t>
      </w:r>
      <w:r>
        <w:t>Gardasil musí být</w:t>
      </w:r>
      <w:r>
        <w:rPr>
          <w:spacing w:val="40"/>
        </w:rPr>
        <w:t xml:space="preserve"> </w:t>
      </w:r>
      <w:r>
        <w:t xml:space="preserve">odloženo u jedinců trpících závažným akutním horečnatým onemocněním. Přítomnost lehké infekce, jako je lehká infekce horních cest dýchacích, nebo horečka nízkého stupně však nejsou kontraindikací pro imunizaci. </w:t>
      </w:r>
      <w:r>
        <w:rPr>
          <w:b/>
        </w:rPr>
        <w:t xml:space="preserve">Zvláštní upozornění a opatření pro použití: </w:t>
      </w:r>
      <w:r>
        <w:t>Při rozhodování o vakcinaci jednotlivce se musí vzít v potaz riziko, že již byl vystaven působení HPV, a potenciální přínos, který může z vakcinace mít. Stejně jako u všech injekčních očkovacích látek musí být pro případ vzácných anafylaktických reakcí po</w:t>
      </w:r>
      <w:r>
        <w:rPr>
          <w:spacing w:val="30"/>
        </w:rPr>
        <w:t xml:space="preserve"> </w:t>
      </w:r>
      <w:r>
        <w:t>aplikaci očkovací látky snadno k dispozici odpovídající léčebná opatření. Po každém očkování, někdy i před ním, může v důsledku psychogenní reakce na vpich jehly dojít k synkopě (mdlobám), někdy s pádem, zejména u dospívajících jedinců. Při probírání se z mdlob se mohou objevit některé neurologické projevy, jako jsou přechodné poruchy vidění, parestézie, tonicko- klonické pohyby končetin. Očkovaní by proto měli být přibližně 15 minut po podání očkovací látky sledováni. Je potřeba zavést opatření proti úrazům v důsledku mdlob. Stejně jako u jiných očkovacích látek, nemusí očkování přípravkem Gardasil zajistit ochranu všem očkovaným. Neprokázalo se, že by měl přípravek Gardasil terapeutický efekt. Bezpečnost a imunogenita očkovací látky byly hodnoceny u jedinců ve věku od 7 do 12 let s prokázanou infekcí virem lidské imunodeficience (HIV). Jedinci se</w:t>
      </w:r>
      <w:r>
        <w:rPr>
          <w:spacing w:val="40"/>
        </w:rPr>
        <w:t xml:space="preserve"> </w:t>
      </w:r>
      <w:r>
        <w:t>sníženou imunitní reakcí v důsledku buď silné imunosupresivní léčby, genetické poruchy nebo jiných příčin, nemusí na očkovací látku zareagovat. Tuto očkovací látku</w:t>
      </w:r>
      <w:r>
        <w:rPr>
          <w:spacing w:val="40"/>
        </w:rPr>
        <w:t xml:space="preserve"> </w:t>
      </w:r>
      <w:r>
        <w:t xml:space="preserve">je nutno podávat opatrně jedincům s trombocytopenií nebo s jakoukoli poruchou koagulace, protože po intramuskulárním podání takovým jedincům může dojít ke krvácení. Nejsou k dispozici žádné údaje o bezpečnosti, imunogenitě ani účinnosti, které by podporovaly zaměnitelnost přípravku Gardasil s jinými očkovacími látkami proti HPV. </w:t>
      </w:r>
      <w:r>
        <w:rPr>
          <w:b/>
        </w:rPr>
        <w:t xml:space="preserve">Interakce: </w:t>
      </w:r>
      <w:r>
        <w:t>Jedinci, kteří dostali imunoglobulin nebo krevní deriváty během 6 měsíců před první dávkou očkovací látky, byli ve všech klinických studiích vyřazeni. Použití spolu s dalšími očkovacími látkami: Při podání přípravku Gardasil ve stejnou dobu (ale při podání očkovacích látek do různých injekčních míst) s očkovací látkou proti hepatitidě typu B (rekombinantní) nedošlo k zásahu do imunitní odpovědi na HPV typy. Gardasil lze podávat současně s kombinovanou posilovací (booster) očkovací látkou obsahující diftérii (d) a tetanus (T) buď s pertusí [acelulární komponenta] (ap) a/nebo s poliomyelitis [inaktivovaná] (IPV) (očkovací látky dTap, dT-IPV, dTap-IPV) bez významné interference s protilátkovou odpovědí na kteroukoli ze složek kterékoli z vakcín. Současné podávání</w:t>
      </w:r>
      <w:r>
        <w:rPr>
          <w:spacing w:val="-2"/>
        </w:rPr>
        <w:t xml:space="preserve"> </w:t>
      </w:r>
      <w:r>
        <w:t>přípravku</w:t>
      </w:r>
      <w:r>
        <w:rPr>
          <w:spacing w:val="-2"/>
        </w:rPr>
        <w:t xml:space="preserve"> </w:t>
      </w:r>
      <w:r>
        <w:t>Gardasil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jinými</w:t>
      </w:r>
      <w:r>
        <w:rPr>
          <w:spacing w:val="-2"/>
        </w:rPr>
        <w:t xml:space="preserve"> </w:t>
      </w:r>
      <w:r>
        <w:t>očkovacími</w:t>
      </w:r>
      <w:r>
        <w:rPr>
          <w:spacing w:val="-2"/>
        </w:rPr>
        <w:t xml:space="preserve"> </w:t>
      </w:r>
      <w:r>
        <w:t>látkami,</w:t>
      </w:r>
      <w:r>
        <w:rPr>
          <w:spacing w:val="-3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očkovací</w:t>
      </w:r>
      <w:r>
        <w:rPr>
          <w:spacing w:val="-3"/>
        </w:rPr>
        <w:t xml:space="preserve"> </w:t>
      </w:r>
      <w:r>
        <w:t>látky</w:t>
      </w:r>
      <w:r>
        <w:rPr>
          <w:spacing w:val="-2"/>
        </w:rPr>
        <w:t xml:space="preserve"> </w:t>
      </w:r>
      <w:r>
        <w:t>uvedené</w:t>
      </w:r>
      <w:r>
        <w:rPr>
          <w:spacing w:val="-2"/>
        </w:rPr>
        <w:t xml:space="preserve"> </w:t>
      </w:r>
      <w:r>
        <w:t>výše,</w:t>
      </w:r>
      <w:r>
        <w:rPr>
          <w:spacing w:val="-2"/>
        </w:rPr>
        <w:t xml:space="preserve"> </w:t>
      </w:r>
      <w:r>
        <w:t>nebylo</w:t>
      </w:r>
      <w:r>
        <w:rPr>
          <w:spacing w:val="-2"/>
        </w:rPr>
        <w:t xml:space="preserve"> </w:t>
      </w:r>
      <w:r>
        <w:t>studováno.</w:t>
      </w:r>
      <w:r>
        <w:rPr>
          <w:spacing w:val="-3"/>
        </w:rPr>
        <w:t xml:space="preserve"> </w:t>
      </w:r>
      <w:r>
        <w:t>Neprokázalo</w:t>
      </w:r>
      <w:r>
        <w:rPr>
          <w:spacing w:val="-3"/>
        </w:rPr>
        <w:t xml:space="preserve"> </w:t>
      </w:r>
      <w:r>
        <w:t xml:space="preserve">se, že by použití hormonální antikoncepce ovlivnilo imunitní odpověď na přípravek Gardasil. </w:t>
      </w:r>
      <w:r>
        <w:rPr>
          <w:b/>
        </w:rPr>
        <w:t xml:space="preserve">Těhotenství a kojení: </w:t>
      </w:r>
      <w:r>
        <w:t>Údaje o podávání přípravku Gardasil v průběhu těhotenství neprokázaly žádný bezpečnostní signál. Tyto údaje však nejsou dostatečné pro doporučení používání přípravku Gardasil v průběhu těhotenství. Očkování je nutno odložit na dobu po ukončení těhotenství.Gardasil lze</w:t>
      </w:r>
      <w:r>
        <w:rPr>
          <w:spacing w:val="40"/>
        </w:rPr>
        <w:t xml:space="preserve"> </w:t>
      </w:r>
      <w:r>
        <w:t>podávat během kojení.</w:t>
      </w:r>
      <w:r>
        <w:rPr>
          <w:spacing w:val="40"/>
        </w:rPr>
        <w:t xml:space="preserve"> </w:t>
      </w:r>
      <w:r>
        <w:rPr>
          <w:b/>
        </w:rPr>
        <w:t xml:space="preserve">Nežádoucí účinky: </w:t>
      </w:r>
      <w:r>
        <w:t xml:space="preserve">Velmi časté (≥ 1/10): bolesti hlavy, v místě injekce: bolest, otok a zarudnutí. Časté (≥ 1/100, &lt; 1/10): horečka, pocit nevolnosti, v místě injekce: zhmožděniny, svědění, bolest v končetině </w:t>
      </w:r>
      <w:r>
        <w:rPr>
          <w:b/>
        </w:rPr>
        <w:t xml:space="preserve">Uchovávání: </w:t>
      </w:r>
      <w:r>
        <w:t>Uchovávejte v chladničce (2 °C – 8 °C). Chraňte před mrazem. Uchovávejte předplněnou injekční stříkačku ve vnější krabičce, aby byl přípravek chráněn před světlem. Přípravek Gardasil musí být po vyjmutí z lednice podán co nejdříve je to možné.</w:t>
      </w:r>
      <w:r>
        <w:rPr>
          <w:spacing w:val="40"/>
        </w:rPr>
        <w:t xml:space="preserve"> </w:t>
      </w:r>
      <w:r>
        <w:t>Údaje ze stabilitních studií ukazují, že složky vakcíny jsou stabilní po dobu 96 hodin, pokud jsou skladovány při teplotách od 8 °C do 40 °C. Po uplynutí této doby musí být přípravek Gardasil použit nebo zlikvidován. Tyto informace jsou určeny pouze pro zdravotnické pracovníky v</w:t>
      </w:r>
      <w:r>
        <w:rPr>
          <w:spacing w:val="40"/>
        </w:rPr>
        <w:t xml:space="preserve"> </w:t>
      </w:r>
      <w:r>
        <w:t>případě dočasného teplotního</w:t>
      </w:r>
      <w:r>
        <w:rPr>
          <w:spacing w:val="-1"/>
        </w:rPr>
        <w:t xml:space="preserve"> </w:t>
      </w:r>
      <w:r>
        <w:t xml:space="preserve">výkyvu. </w:t>
      </w:r>
      <w:r>
        <w:rPr>
          <w:b/>
        </w:rPr>
        <w:t xml:space="preserve">Balení: </w:t>
      </w:r>
      <w:r>
        <w:t xml:space="preserve">0,5 ml suspenze v předplněné injekční stříkačce se dvěma jehlami v balení po 1 kuse. </w:t>
      </w:r>
      <w:r>
        <w:rPr>
          <w:b/>
        </w:rPr>
        <w:t>Držitel rozhodnutí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registraci:</w:t>
      </w:r>
      <w:r>
        <w:rPr>
          <w:b/>
          <w:spacing w:val="-2"/>
        </w:rPr>
        <w:t xml:space="preserve"> </w:t>
      </w:r>
      <w:r>
        <w:t>Merck</w:t>
      </w:r>
      <w:r>
        <w:rPr>
          <w:spacing w:val="-1"/>
        </w:rPr>
        <w:t xml:space="preserve"> </w:t>
      </w:r>
      <w:r>
        <w:t>Sharp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Dohme</w:t>
      </w:r>
      <w:r>
        <w:rPr>
          <w:spacing w:val="-1"/>
        </w:rPr>
        <w:t xml:space="preserve"> </w:t>
      </w:r>
      <w:r>
        <w:t>B.V.,</w:t>
      </w:r>
      <w:r>
        <w:rPr>
          <w:spacing w:val="-1"/>
        </w:rPr>
        <w:t xml:space="preserve"> </w:t>
      </w:r>
      <w:r>
        <w:t>Waarderweg</w:t>
      </w:r>
      <w:r>
        <w:rPr>
          <w:spacing w:val="-2"/>
        </w:rPr>
        <w:t xml:space="preserve"> </w:t>
      </w:r>
      <w:r>
        <w:t>39,</w:t>
      </w:r>
      <w:r>
        <w:rPr>
          <w:spacing w:val="-1"/>
        </w:rPr>
        <w:t xml:space="preserve"> </w:t>
      </w:r>
      <w:r>
        <w:t>2031</w:t>
      </w:r>
      <w:r>
        <w:rPr>
          <w:spacing w:val="-1"/>
        </w:rPr>
        <w:t xml:space="preserve"> </w:t>
      </w:r>
      <w:r>
        <w:t>BN</w:t>
      </w:r>
      <w:r>
        <w:rPr>
          <w:spacing w:val="-1"/>
        </w:rPr>
        <w:t xml:space="preserve"> </w:t>
      </w:r>
      <w:r>
        <w:t xml:space="preserve">Haarlem, Nizozemsko. </w:t>
      </w:r>
      <w:r>
        <w:rPr>
          <w:b/>
        </w:rPr>
        <w:t>Registrační číslo</w:t>
      </w:r>
      <w:r>
        <w:t xml:space="preserve">: </w:t>
      </w:r>
      <w:r>
        <w:rPr>
          <w:spacing w:val="-2"/>
        </w:rPr>
        <w:t>EU/1/06/357/007.</w:t>
      </w:r>
      <w:r w:rsidR="001A0CD3">
        <w:t xml:space="preserve"> </w:t>
      </w:r>
      <w:r>
        <w:rPr>
          <w:b/>
          <w:spacing w:val="-4"/>
        </w:rPr>
        <w:t>Datum</w:t>
      </w:r>
      <w:r w:rsidR="001A0CD3">
        <w:rPr>
          <w:b/>
        </w:rPr>
        <w:t xml:space="preserve"> </w:t>
      </w:r>
      <w:r>
        <w:rPr>
          <w:b/>
          <w:spacing w:val="-2"/>
        </w:rPr>
        <w:t>poslední</w:t>
      </w:r>
      <w:r w:rsidR="001A0CD3">
        <w:rPr>
          <w:b/>
        </w:rPr>
        <w:t xml:space="preserve"> </w:t>
      </w:r>
      <w:r>
        <w:rPr>
          <w:b/>
          <w:spacing w:val="-2"/>
        </w:rPr>
        <w:t>revize</w:t>
      </w:r>
      <w:r w:rsidR="001A0CD3">
        <w:rPr>
          <w:b/>
        </w:rPr>
        <w:t xml:space="preserve"> </w:t>
      </w:r>
      <w:r>
        <w:rPr>
          <w:b/>
          <w:spacing w:val="-2"/>
        </w:rPr>
        <w:t>textu:</w:t>
      </w:r>
      <w:r w:rsidR="001A0CD3">
        <w:rPr>
          <w:b/>
        </w:rPr>
        <w:t xml:space="preserve"> </w:t>
      </w:r>
      <w:r w:rsidR="001A0CD3">
        <w:rPr>
          <w:spacing w:val="-2"/>
        </w:rPr>
        <w:t>26</w:t>
      </w:r>
      <w:r>
        <w:rPr>
          <w:spacing w:val="-2"/>
        </w:rPr>
        <w:t>.</w:t>
      </w:r>
      <w:r w:rsidR="001A0CD3">
        <w:rPr>
          <w:spacing w:val="-2"/>
        </w:rPr>
        <w:t>03</w:t>
      </w:r>
      <w:r>
        <w:rPr>
          <w:spacing w:val="-2"/>
        </w:rPr>
        <w:t>.202</w:t>
      </w:r>
      <w:r w:rsidR="001A0CD3">
        <w:rPr>
          <w:spacing w:val="-2"/>
        </w:rPr>
        <w:t>4</w:t>
      </w:r>
      <w:r w:rsidR="001A0CD3">
        <w:t xml:space="preserve"> </w:t>
      </w:r>
      <w:r>
        <w:rPr>
          <w:b/>
          <w:spacing w:val="-4"/>
        </w:rPr>
        <w:t>RCN:</w:t>
      </w:r>
      <w:r w:rsidR="00B07F1F">
        <w:rPr>
          <w:b/>
        </w:rPr>
        <w:t xml:space="preserve"> </w:t>
      </w:r>
      <w:r w:rsidR="001A0CD3" w:rsidRPr="001A0CD3">
        <w:rPr>
          <w:spacing w:val="-2"/>
        </w:rPr>
        <w:t>000026549-CZ</w:t>
      </w:r>
    </w:p>
    <w:p w14:paraId="09F9FE8F" w14:textId="4F698E8D" w:rsidR="00572DEC" w:rsidRDefault="00C7086D">
      <w:pPr>
        <w:pStyle w:val="BodyText"/>
        <w:tabs>
          <w:tab w:val="left" w:pos="2511"/>
          <w:tab w:val="left" w:pos="3846"/>
          <w:tab w:val="left" w:pos="5315"/>
          <w:tab w:val="left" w:pos="6564"/>
          <w:tab w:val="left" w:pos="7800"/>
          <w:tab w:val="left" w:pos="9367"/>
          <w:tab w:val="left" w:pos="10604"/>
        </w:tabs>
        <w:spacing w:before="80"/>
        <w:ind w:left="242" w:right="108"/>
        <w:jc w:val="both"/>
        <w:rPr>
          <w:i/>
          <w:sz w:val="20"/>
        </w:rPr>
      </w:pPr>
      <w:r>
        <w:rPr>
          <w:i/>
          <w:sz w:val="20"/>
        </w:rPr>
        <w:t>Pro kohortu dívek a chlapců od dovršeného 1</w:t>
      </w:r>
      <w:r w:rsidR="001A0CD3">
        <w:rPr>
          <w:i/>
          <w:sz w:val="20"/>
        </w:rPr>
        <w:t>1</w:t>
      </w:r>
      <w:r>
        <w:rPr>
          <w:i/>
          <w:sz w:val="20"/>
        </w:rPr>
        <w:t>. do dovršeného 1</w:t>
      </w:r>
      <w:r w:rsidR="001A0CD3">
        <w:rPr>
          <w:i/>
          <w:sz w:val="20"/>
        </w:rPr>
        <w:t>5</w:t>
      </w:r>
      <w:r>
        <w:rPr>
          <w:i/>
          <w:sz w:val="20"/>
        </w:rPr>
        <w:t>. roku plně hrazeno z prostředků veřejného zdravotního pojištění. Pro ostatní není hrazeno z prostředků veřejného zdravotního pojištění. Přípravek je vázán na lékařský předpis. Dříve než přípravek předepíšete, seznamte se, prosím, s úplným souhrnem údajů o přípravku.</w:t>
      </w:r>
      <w:r w:rsidR="001A0CD3">
        <w:rPr>
          <w:i/>
          <w:sz w:val="20"/>
        </w:rPr>
        <w:t xml:space="preserve"> </w:t>
      </w:r>
      <w:r w:rsidR="001A0CD3" w:rsidRPr="001A0CD3">
        <w:rPr>
          <w:i/>
          <w:sz w:val="20"/>
        </w:rPr>
        <w:t>Distribuce vakcíny Gardasil byla ukončena k 31.5.2023</w:t>
      </w:r>
      <w:r w:rsidR="001A0CD3">
        <w:rPr>
          <w:i/>
          <w:sz w:val="20"/>
        </w:rPr>
        <w:t>.</w:t>
      </w:r>
    </w:p>
    <w:p w14:paraId="56A76075" w14:textId="77777777" w:rsidR="00572DEC" w:rsidRDefault="00572DEC">
      <w:pPr>
        <w:pStyle w:val="BodyText"/>
        <w:rPr>
          <w:i/>
        </w:rPr>
      </w:pPr>
    </w:p>
    <w:p w14:paraId="6E2C3E4B" w14:textId="77777777" w:rsidR="00572DEC" w:rsidRDefault="00C7086D">
      <w:pPr>
        <w:spacing w:before="155"/>
        <w:ind w:left="1487"/>
        <w:rPr>
          <w:i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5D45DE" wp14:editId="2D4E5C5F">
            <wp:simplePos x="0" y="0"/>
            <wp:positionH relativeFrom="page">
              <wp:posOffset>110836</wp:posOffset>
            </wp:positionH>
            <wp:positionV relativeFrom="paragraph">
              <wp:posOffset>72299</wp:posOffset>
            </wp:positionV>
            <wp:extent cx="732904" cy="3251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904" cy="325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Merck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Sharp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Dohme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s.r.o.,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Valentince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3336/4,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150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Praha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5,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Česká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republika.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Tel.: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+420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233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010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111,</w:t>
      </w:r>
    </w:p>
    <w:p w14:paraId="325EC2A0" w14:textId="01E1890A" w:rsidR="00572DEC" w:rsidRDefault="00C7086D">
      <w:pPr>
        <w:tabs>
          <w:tab w:val="left" w:pos="11253"/>
        </w:tabs>
        <w:ind w:left="1487"/>
        <w:rPr>
          <w:i/>
          <w:sz w:val="20"/>
        </w:rPr>
      </w:pPr>
      <w:r>
        <w:rPr>
          <w:i/>
          <w:sz w:val="20"/>
        </w:rPr>
        <w:t xml:space="preserve">e-mail: </w:t>
      </w:r>
      <w:hyperlink r:id="rId7">
        <w:r>
          <w:rPr>
            <w:i/>
            <w:sz w:val="20"/>
          </w:rPr>
          <w:t>dpoc_czechslovak@merck.com,</w:t>
        </w:r>
      </w:hyperlink>
      <w:r>
        <w:rPr>
          <w:i/>
          <w:sz w:val="20"/>
        </w:rPr>
        <w:t xml:space="preserve"> </w:t>
      </w:r>
      <w:hyperlink r:id="rId8">
        <w:r>
          <w:rPr>
            <w:i/>
            <w:spacing w:val="-2"/>
            <w:sz w:val="20"/>
          </w:rPr>
          <w:t>www.msd.cz</w:t>
        </w:r>
      </w:hyperlink>
      <w:r>
        <w:rPr>
          <w:i/>
          <w:sz w:val="20"/>
        </w:rPr>
        <w:tab/>
      </w:r>
      <w:r w:rsidR="00926CAC" w:rsidRPr="00926CAC">
        <w:rPr>
          <w:i/>
          <w:sz w:val="20"/>
        </w:rPr>
        <w:t>ISI-3712</w:t>
      </w:r>
    </w:p>
    <w:sectPr w:rsidR="00572DEC">
      <w:type w:val="continuous"/>
      <w:pgSz w:w="12240" w:h="15840"/>
      <w:pgMar w:top="120" w:right="12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19C3" w14:textId="77777777" w:rsidR="0085529E" w:rsidRDefault="0085529E" w:rsidP="00AB26EB">
      <w:r>
        <w:separator/>
      </w:r>
    </w:p>
  </w:endnote>
  <w:endnote w:type="continuationSeparator" w:id="0">
    <w:p w14:paraId="28DD8855" w14:textId="77777777" w:rsidR="0085529E" w:rsidRDefault="0085529E" w:rsidP="00AB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1E15" w14:textId="77777777" w:rsidR="0085529E" w:rsidRDefault="0085529E" w:rsidP="00AB26EB">
      <w:r>
        <w:separator/>
      </w:r>
    </w:p>
  </w:footnote>
  <w:footnote w:type="continuationSeparator" w:id="0">
    <w:p w14:paraId="3C4526AC" w14:textId="77777777" w:rsidR="0085529E" w:rsidRDefault="0085529E" w:rsidP="00AB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EC"/>
    <w:rsid w:val="001A0CD3"/>
    <w:rsid w:val="00267121"/>
    <w:rsid w:val="00402C7C"/>
    <w:rsid w:val="00572DEC"/>
    <w:rsid w:val="0085529E"/>
    <w:rsid w:val="00926CAC"/>
    <w:rsid w:val="00AB26EB"/>
    <w:rsid w:val="00B07F1F"/>
    <w:rsid w:val="00B40A4D"/>
    <w:rsid w:val="00C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1A345"/>
  <w15:docId w15:val="{6277EA37-B7F0-477E-94F2-2BEDBEE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d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c_czechslovak@merc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Knieznerova, Patricia</dc:creator>
  <cp:lastModifiedBy>Sotkovsky, Petr</cp:lastModifiedBy>
  <cp:revision>5</cp:revision>
  <dcterms:created xsi:type="dcterms:W3CDTF">2022-11-28T12:46:00Z</dcterms:created>
  <dcterms:modified xsi:type="dcterms:W3CDTF">2024-04-11T05:18:00Z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2022-10-11T00:00:00Z</vt:filetime>
  </property>
  <property fmtid="{D5CDD505-2E9C-101B-9397-08002B2CF9AE}" pid="5" name="Producer">
    <vt:lpwstr>Microsoft® Word for Microsoft 365</vt:lpwstr>
  </property>
  <property fmtid="{D5CDD505-2E9C-101B-9397-08002B2CF9AE}" pid="6" name="_AdHocReviewCycleID">
    <vt:i4>917650388</vt:i4>
  </property>
  <property fmtid="{D5CDD505-2E9C-101B-9397-08002B2CF9AE}" pid="7" name="_NewReviewCycle">
    <vt:lpwstr/>
  </property>
  <property fmtid="{D5CDD505-2E9C-101B-9397-08002B2CF9AE}" pid="8" name="_EmailSubject">
    <vt:lpwstr>Gardasil 9 - SmPC update - 21/03/2024 - II-069 - 4th Interim Report for Study V503-021 - RCN 000026526-CZ</vt:lpwstr>
  </property>
  <property fmtid="{D5CDD505-2E9C-101B-9397-08002B2CF9AE}" pid="9" name="_AuthorEmail">
    <vt:lpwstr>petr.sotkovsky@merck.com</vt:lpwstr>
  </property>
  <property fmtid="{D5CDD505-2E9C-101B-9397-08002B2CF9AE}" pid="10" name="_AuthorEmailDisplayName">
    <vt:lpwstr>Sotkovsky, Petr</vt:lpwstr>
  </property>
  <property fmtid="{D5CDD505-2E9C-101B-9397-08002B2CF9AE}" pid="11" name="MSIP_Label_e81acc0d-dcc4-4dc9-a2c5-be70b05a2fe6_Enabled">
    <vt:lpwstr>true</vt:lpwstr>
  </property>
  <property fmtid="{D5CDD505-2E9C-101B-9397-08002B2CF9AE}" pid="12" name="MSIP_Label_e81acc0d-dcc4-4dc9-a2c5-be70b05a2fe6_SetDate">
    <vt:lpwstr>2022-11-28T12:45:55Z</vt:lpwstr>
  </property>
  <property fmtid="{D5CDD505-2E9C-101B-9397-08002B2CF9AE}" pid="13" name="MSIP_Label_e81acc0d-dcc4-4dc9-a2c5-be70b05a2fe6_Method">
    <vt:lpwstr>Privileged</vt:lpwstr>
  </property>
  <property fmtid="{D5CDD505-2E9C-101B-9397-08002B2CF9AE}" pid="14" name="MSIP_Label_e81acc0d-dcc4-4dc9-a2c5-be70b05a2fe6_Name">
    <vt:lpwstr>e81acc0d-dcc4-4dc9-a2c5-be70b05a2fe6</vt:lpwstr>
  </property>
  <property fmtid="{D5CDD505-2E9C-101B-9397-08002B2CF9AE}" pid="15" name="MSIP_Label_e81acc0d-dcc4-4dc9-a2c5-be70b05a2fe6_SiteId">
    <vt:lpwstr>a00de4ec-48a8-43a6-be74-e31274e2060d</vt:lpwstr>
  </property>
  <property fmtid="{D5CDD505-2E9C-101B-9397-08002B2CF9AE}" pid="16" name="MSIP_Label_e81acc0d-dcc4-4dc9-a2c5-be70b05a2fe6_ActionId">
    <vt:lpwstr>3911eb4c-27a3-4a05-a8eb-35bbfb4ef1cb</vt:lpwstr>
  </property>
  <property fmtid="{D5CDD505-2E9C-101B-9397-08002B2CF9AE}" pid="17" name="MSIP_Label_e81acc0d-dcc4-4dc9-a2c5-be70b05a2fe6_ContentBits">
    <vt:lpwstr>0</vt:lpwstr>
  </property>
  <property fmtid="{D5CDD505-2E9C-101B-9397-08002B2CF9AE}" pid="18" name="MerckAIPLabel">
    <vt:lpwstr>NotClassified</vt:lpwstr>
  </property>
  <property fmtid="{D5CDD505-2E9C-101B-9397-08002B2CF9AE}" pid="19" name="MerckAIPDataExchange">
    <vt:lpwstr>!MRKMIP@NotClassified</vt:lpwstr>
  </property>
  <property fmtid="{D5CDD505-2E9C-101B-9397-08002B2CF9AE}" pid="20" name="_PreviousAdHocReviewCycleID">
    <vt:i4>403118269</vt:i4>
  </property>
</Properties>
</file>